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618" w:rsidRDefault="00CE0618" w:rsidP="00CE0618">
      <w:pPr>
        <w:rPr>
          <w:sz w:val="24"/>
          <w:szCs w:val="24"/>
        </w:rPr>
      </w:pPr>
    </w:p>
    <w:p w:rsidR="00CE0618" w:rsidRPr="003D2BB8" w:rsidRDefault="00CE0618" w:rsidP="00CE0618">
      <w:pPr>
        <w:jc w:val="center"/>
        <w:rPr>
          <w:sz w:val="24"/>
          <w:szCs w:val="24"/>
        </w:rPr>
      </w:pPr>
      <w:r w:rsidRPr="003D2BB8">
        <w:rPr>
          <w:sz w:val="24"/>
          <w:szCs w:val="24"/>
        </w:rPr>
        <w:t xml:space="preserve">Efficacy and Safety of </w:t>
      </w:r>
      <w:proofErr w:type="spellStart"/>
      <w:r w:rsidRPr="003D2BB8">
        <w:rPr>
          <w:sz w:val="24"/>
          <w:szCs w:val="24"/>
        </w:rPr>
        <w:t>Folfirinox</w:t>
      </w:r>
      <w:proofErr w:type="spellEnd"/>
      <w:r w:rsidRPr="003D2BB8">
        <w:rPr>
          <w:sz w:val="24"/>
          <w:szCs w:val="24"/>
        </w:rPr>
        <w:t xml:space="preserve"> as Neoadjuvant Chemotherapy for Resectable Gastric or Gastroesophageal junction adenocarcinoma- a run- in pilot followed by Phase 2 comparison between ECF and FOLFIRINOX – FIG study</w:t>
      </w:r>
    </w:p>
    <w:p w:rsidR="00CE0618" w:rsidRPr="003D2BB8" w:rsidRDefault="00CE0618" w:rsidP="00CE0618">
      <w:pPr>
        <w:rPr>
          <w:b/>
          <w:sz w:val="24"/>
          <w:szCs w:val="24"/>
        </w:rPr>
      </w:pPr>
    </w:p>
    <w:p w:rsidR="00CE0618" w:rsidRPr="003D2BB8" w:rsidRDefault="00CE0618" w:rsidP="00CE0618">
      <w:pPr>
        <w:rPr>
          <w:b/>
          <w:sz w:val="24"/>
          <w:szCs w:val="24"/>
        </w:rPr>
      </w:pPr>
    </w:p>
    <w:p w:rsidR="00CE0618" w:rsidRPr="003D2BB8" w:rsidRDefault="00CE0618" w:rsidP="00CE0618">
      <w:pPr>
        <w:rPr>
          <w:b/>
          <w:sz w:val="24"/>
          <w:szCs w:val="24"/>
        </w:rPr>
      </w:pPr>
    </w:p>
    <w:p w:rsidR="00CE0618" w:rsidRPr="003D2BB8" w:rsidRDefault="00CE0618" w:rsidP="00CE0618">
      <w:pPr>
        <w:rPr>
          <w:b/>
          <w:sz w:val="24"/>
          <w:szCs w:val="24"/>
        </w:rPr>
      </w:pPr>
      <w:r w:rsidRPr="003D2BB8">
        <w:rPr>
          <w:b/>
          <w:sz w:val="24"/>
          <w:szCs w:val="24"/>
        </w:rPr>
        <w:t>Sponsor:</w:t>
      </w:r>
      <w:r w:rsidRPr="003D2BB8">
        <w:rPr>
          <w:b/>
          <w:sz w:val="24"/>
          <w:szCs w:val="24"/>
        </w:rPr>
        <w:tab/>
      </w:r>
      <w:r w:rsidRPr="003D2BB8">
        <w:rPr>
          <w:b/>
          <w:sz w:val="24"/>
          <w:szCs w:val="24"/>
        </w:rPr>
        <w:tab/>
        <w:t>Royal Adelaide Hospital Cancer Centre</w:t>
      </w:r>
    </w:p>
    <w:p w:rsidR="00CE0618" w:rsidRPr="003D2BB8" w:rsidRDefault="00CE0618" w:rsidP="00CE0618">
      <w:pPr>
        <w:rPr>
          <w:b/>
          <w:sz w:val="24"/>
          <w:szCs w:val="24"/>
        </w:rPr>
      </w:pPr>
      <w:r w:rsidRPr="003D2BB8">
        <w:rPr>
          <w:b/>
          <w:sz w:val="24"/>
          <w:szCs w:val="24"/>
        </w:rPr>
        <w:tab/>
      </w:r>
      <w:r w:rsidRPr="003D2BB8">
        <w:rPr>
          <w:b/>
          <w:sz w:val="24"/>
          <w:szCs w:val="24"/>
        </w:rPr>
        <w:tab/>
      </w:r>
      <w:r w:rsidRPr="003D2BB8">
        <w:rPr>
          <w:b/>
          <w:sz w:val="24"/>
          <w:szCs w:val="24"/>
        </w:rPr>
        <w:tab/>
        <w:t>MDP11, East Wing</w:t>
      </w:r>
    </w:p>
    <w:p w:rsidR="00CE0618" w:rsidRPr="003D2BB8" w:rsidRDefault="00CE0618" w:rsidP="00CE0618">
      <w:pPr>
        <w:rPr>
          <w:b/>
          <w:sz w:val="24"/>
          <w:szCs w:val="24"/>
        </w:rPr>
      </w:pPr>
      <w:r w:rsidRPr="003D2BB8">
        <w:rPr>
          <w:b/>
          <w:sz w:val="24"/>
          <w:szCs w:val="24"/>
        </w:rPr>
        <w:tab/>
      </w:r>
      <w:r w:rsidRPr="003D2BB8">
        <w:rPr>
          <w:b/>
          <w:sz w:val="24"/>
          <w:szCs w:val="24"/>
        </w:rPr>
        <w:tab/>
      </w:r>
      <w:r w:rsidRPr="003D2BB8">
        <w:rPr>
          <w:b/>
          <w:sz w:val="24"/>
          <w:szCs w:val="24"/>
        </w:rPr>
        <w:tab/>
        <w:t>North Terrace, Adelaide SA 5000</w:t>
      </w:r>
    </w:p>
    <w:p w:rsidR="00CE0618" w:rsidRPr="003D2BB8" w:rsidRDefault="00CE0618" w:rsidP="00CE0618">
      <w:pPr>
        <w:rPr>
          <w:b/>
          <w:sz w:val="24"/>
          <w:szCs w:val="24"/>
        </w:rPr>
      </w:pPr>
      <w:r w:rsidRPr="003D2BB8">
        <w:rPr>
          <w:b/>
          <w:sz w:val="24"/>
          <w:szCs w:val="24"/>
        </w:rPr>
        <w:t>Chief Investigator:</w:t>
      </w:r>
      <w:r w:rsidRPr="003D2BB8">
        <w:rPr>
          <w:b/>
          <w:sz w:val="24"/>
          <w:szCs w:val="24"/>
        </w:rPr>
        <w:tab/>
        <w:t>Dr Nimit Singhal</w:t>
      </w:r>
    </w:p>
    <w:p w:rsidR="00CE0618" w:rsidRPr="008E0510" w:rsidRDefault="00CE0618" w:rsidP="00CE0618">
      <w:pPr>
        <w:rPr>
          <w:sz w:val="24"/>
          <w:szCs w:val="24"/>
        </w:rPr>
      </w:pPr>
      <w:r w:rsidRPr="003D2BB8">
        <w:rPr>
          <w:b/>
          <w:sz w:val="24"/>
          <w:szCs w:val="24"/>
        </w:rPr>
        <w:t>Co-Investigators:</w:t>
      </w:r>
      <w:r w:rsidRPr="003D2BB8">
        <w:rPr>
          <w:b/>
          <w:sz w:val="24"/>
          <w:szCs w:val="24"/>
        </w:rPr>
        <w:tab/>
      </w:r>
      <w:r>
        <w:rPr>
          <w:sz w:val="24"/>
          <w:szCs w:val="24"/>
        </w:rPr>
        <w:t>A/Prof</w:t>
      </w:r>
      <w:r w:rsidRPr="008E0510">
        <w:rPr>
          <w:sz w:val="24"/>
          <w:szCs w:val="24"/>
        </w:rPr>
        <w:t xml:space="preserve"> Tim Price, MBBS, FRACP</w:t>
      </w:r>
    </w:p>
    <w:p w:rsidR="00CE0618" w:rsidRPr="008E0510" w:rsidRDefault="00CE0618" w:rsidP="00CE0618">
      <w:pPr>
        <w:rPr>
          <w:sz w:val="24"/>
          <w:szCs w:val="24"/>
        </w:rPr>
      </w:pPr>
      <w:r w:rsidRPr="008E0510">
        <w:rPr>
          <w:sz w:val="24"/>
          <w:szCs w:val="24"/>
        </w:rPr>
        <w:tab/>
      </w:r>
      <w:r w:rsidRPr="008E0510">
        <w:rPr>
          <w:sz w:val="24"/>
          <w:szCs w:val="24"/>
        </w:rPr>
        <w:tab/>
      </w:r>
      <w:r w:rsidRPr="008E0510">
        <w:rPr>
          <w:sz w:val="24"/>
          <w:szCs w:val="24"/>
        </w:rPr>
        <w:tab/>
      </w:r>
      <w:r>
        <w:rPr>
          <w:sz w:val="24"/>
          <w:szCs w:val="24"/>
        </w:rPr>
        <w:t>A/Prof</w:t>
      </w:r>
      <w:r w:rsidRPr="008E0510">
        <w:rPr>
          <w:sz w:val="24"/>
          <w:szCs w:val="24"/>
        </w:rPr>
        <w:t xml:space="preserve"> Chris Karapetis MBBS, FRACP</w:t>
      </w:r>
    </w:p>
    <w:p w:rsidR="00CE0618" w:rsidRPr="008E0510" w:rsidRDefault="00CE0618" w:rsidP="00CE0618">
      <w:pPr>
        <w:rPr>
          <w:sz w:val="24"/>
          <w:szCs w:val="24"/>
        </w:rPr>
      </w:pPr>
      <w:r w:rsidRPr="008E0510">
        <w:rPr>
          <w:sz w:val="24"/>
          <w:szCs w:val="24"/>
        </w:rPr>
        <w:tab/>
      </w:r>
      <w:r w:rsidRPr="008E0510">
        <w:rPr>
          <w:sz w:val="24"/>
          <w:szCs w:val="24"/>
        </w:rPr>
        <w:tab/>
      </w:r>
      <w:r w:rsidRPr="008E0510">
        <w:rPr>
          <w:sz w:val="24"/>
          <w:szCs w:val="24"/>
        </w:rPr>
        <w:tab/>
        <w:t>Dr Rachael Chan</w:t>
      </w:r>
      <w:r w:rsidR="00D572FD">
        <w:rPr>
          <w:sz w:val="24"/>
          <w:szCs w:val="24"/>
        </w:rPr>
        <w:t>g</w:t>
      </w:r>
      <w:bookmarkStart w:id="0" w:name="_GoBack"/>
      <w:bookmarkEnd w:id="0"/>
      <w:r w:rsidRPr="008E0510">
        <w:rPr>
          <w:sz w:val="24"/>
          <w:szCs w:val="24"/>
        </w:rPr>
        <w:t xml:space="preserve"> MBBS, FRACP</w:t>
      </w:r>
    </w:p>
    <w:p w:rsidR="00CE0618" w:rsidRPr="008E0510" w:rsidRDefault="00CE0618" w:rsidP="00CE0618">
      <w:pPr>
        <w:ind w:left="1440" w:firstLine="720"/>
        <w:rPr>
          <w:sz w:val="24"/>
          <w:szCs w:val="24"/>
        </w:rPr>
      </w:pPr>
      <w:r w:rsidRPr="008E0510">
        <w:rPr>
          <w:sz w:val="24"/>
          <w:szCs w:val="24"/>
        </w:rPr>
        <w:t>Dr Amitesh Roy MBBS, FRACP</w:t>
      </w:r>
    </w:p>
    <w:p w:rsidR="00CE0618" w:rsidRDefault="00CE0618" w:rsidP="00CE0618">
      <w:pPr>
        <w:pStyle w:val="BodyTextIndent"/>
        <w:spacing w:after="0"/>
        <w:ind w:left="4321" w:hanging="2161"/>
        <w:jc w:val="both"/>
        <w:rPr>
          <w:rFonts w:ascii="Arial" w:hAnsi="Arial" w:cs="Arial"/>
          <w:sz w:val="21"/>
          <w:szCs w:val="21"/>
        </w:rPr>
      </w:pPr>
      <w:r w:rsidRPr="008E0510">
        <w:rPr>
          <w:rFonts w:ascii="Arial" w:hAnsi="Arial" w:cs="Arial"/>
          <w:sz w:val="21"/>
          <w:szCs w:val="21"/>
        </w:rPr>
        <w:t>Dr Rohit Joshi MBBS FRACP</w:t>
      </w:r>
    </w:p>
    <w:p w:rsidR="00CE0618" w:rsidRPr="008E0510" w:rsidRDefault="00CE0618" w:rsidP="00CE0618">
      <w:pPr>
        <w:pStyle w:val="BodyTextIndent"/>
        <w:spacing w:after="0"/>
        <w:ind w:left="4321" w:hanging="2161"/>
        <w:jc w:val="both"/>
        <w:rPr>
          <w:rFonts w:ascii="Arial" w:hAnsi="Arial" w:cs="Arial"/>
          <w:sz w:val="21"/>
          <w:szCs w:val="21"/>
        </w:rPr>
      </w:pPr>
    </w:p>
    <w:p w:rsidR="00CE0618" w:rsidRPr="008E0510" w:rsidRDefault="00CE0618" w:rsidP="00CE0618">
      <w:pPr>
        <w:ind w:left="1440" w:firstLine="720"/>
        <w:rPr>
          <w:sz w:val="24"/>
          <w:szCs w:val="24"/>
        </w:rPr>
      </w:pPr>
      <w:r w:rsidRPr="008E0510">
        <w:rPr>
          <w:sz w:val="24"/>
          <w:szCs w:val="24"/>
        </w:rPr>
        <w:t>Dr Tony Michele MBBS, FRACP</w:t>
      </w:r>
    </w:p>
    <w:p w:rsidR="00CE0618" w:rsidRPr="008E0510" w:rsidRDefault="00CE0618" w:rsidP="00CE0618">
      <w:pPr>
        <w:ind w:left="1440" w:firstLine="720"/>
        <w:jc w:val="both"/>
        <w:rPr>
          <w:rFonts w:ascii="Arial" w:hAnsi="Arial" w:cs="Arial"/>
          <w:sz w:val="21"/>
          <w:szCs w:val="21"/>
        </w:rPr>
      </w:pPr>
      <w:r w:rsidRPr="008E0510">
        <w:rPr>
          <w:rFonts w:ascii="Arial" w:hAnsi="Arial" w:cs="Arial"/>
          <w:sz w:val="21"/>
          <w:szCs w:val="21"/>
        </w:rPr>
        <w:t>Dr Carolyn Bampton, FRACP</w:t>
      </w:r>
    </w:p>
    <w:p w:rsidR="00CE0618" w:rsidRPr="008E0510" w:rsidRDefault="00CE0618" w:rsidP="00CE0618">
      <w:pPr>
        <w:ind w:left="1440" w:firstLine="720"/>
        <w:jc w:val="both"/>
        <w:rPr>
          <w:rFonts w:ascii="Arial" w:hAnsi="Arial" w:cs="Arial"/>
          <w:sz w:val="21"/>
          <w:szCs w:val="21"/>
        </w:rPr>
      </w:pPr>
      <w:r>
        <w:rPr>
          <w:sz w:val="24"/>
          <w:szCs w:val="24"/>
        </w:rPr>
        <w:t>A/Prof</w:t>
      </w:r>
      <w:r w:rsidRPr="008E0510">
        <w:rPr>
          <w:rFonts w:ascii="Arial" w:hAnsi="Arial" w:cs="Arial"/>
          <w:sz w:val="21"/>
          <w:szCs w:val="21"/>
        </w:rPr>
        <w:t xml:space="preserve"> Sarah Thompson FRACS</w:t>
      </w:r>
    </w:p>
    <w:p w:rsidR="00CE0618" w:rsidRPr="008E0510" w:rsidRDefault="00CE0618" w:rsidP="00CE0618">
      <w:pPr>
        <w:ind w:left="1440" w:firstLine="720"/>
        <w:jc w:val="both"/>
        <w:rPr>
          <w:rFonts w:ascii="Arial" w:hAnsi="Arial" w:cs="Arial"/>
          <w:sz w:val="21"/>
          <w:szCs w:val="21"/>
        </w:rPr>
      </w:pPr>
      <w:r w:rsidRPr="008E0510">
        <w:rPr>
          <w:rFonts w:ascii="Arial" w:hAnsi="Arial" w:cs="Arial"/>
          <w:sz w:val="21"/>
          <w:szCs w:val="21"/>
        </w:rPr>
        <w:t>Prof David Watson MBBS, MD, PhD, FRACS, FAHMS</w:t>
      </w:r>
    </w:p>
    <w:p w:rsidR="00CE0618" w:rsidRPr="008E0510" w:rsidRDefault="00CE0618" w:rsidP="00CE0618">
      <w:pPr>
        <w:ind w:left="1440" w:firstLine="720"/>
        <w:jc w:val="both"/>
        <w:rPr>
          <w:rFonts w:ascii="Arial" w:hAnsi="Arial" w:cs="Arial"/>
          <w:sz w:val="21"/>
          <w:szCs w:val="21"/>
        </w:rPr>
      </w:pPr>
      <w:r w:rsidRPr="008E0510">
        <w:rPr>
          <w:rFonts w:ascii="Arial" w:hAnsi="Arial" w:cs="Arial"/>
          <w:sz w:val="21"/>
          <w:szCs w:val="21"/>
        </w:rPr>
        <w:t>Dr Tim Bright MBBS, MS, FRACS</w:t>
      </w:r>
    </w:p>
    <w:p w:rsidR="00CE0618" w:rsidRDefault="00CE0618" w:rsidP="00CE0618">
      <w:pPr>
        <w:ind w:left="1407" w:firstLine="720"/>
        <w:jc w:val="both"/>
        <w:rPr>
          <w:rFonts w:ascii="Arial" w:hAnsi="Arial" w:cs="Arial"/>
          <w:sz w:val="21"/>
          <w:szCs w:val="21"/>
        </w:rPr>
      </w:pPr>
      <w:r>
        <w:rPr>
          <w:rFonts w:ascii="Arial" w:hAnsi="Arial" w:cs="Arial"/>
          <w:sz w:val="21"/>
          <w:szCs w:val="21"/>
        </w:rPr>
        <w:t xml:space="preserve"> Dr Jon </w:t>
      </w:r>
      <w:proofErr w:type="spellStart"/>
      <w:r>
        <w:rPr>
          <w:rFonts w:ascii="Arial" w:hAnsi="Arial" w:cs="Arial"/>
          <w:sz w:val="21"/>
          <w:szCs w:val="21"/>
        </w:rPr>
        <w:t>Shenfine</w:t>
      </w:r>
      <w:proofErr w:type="spellEnd"/>
      <w:r>
        <w:rPr>
          <w:rFonts w:ascii="Arial" w:hAnsi="Arial" w:cs="Arial"/>
          <w:sz w:val="21"/>
          <w:szCs w:val="21"/>
        </w:rPr>
        <w:t xml:space="preserve"> FRACS</w:t>
      </w:r>
    </w:p>
    <w:p w:rsidR="00CE0618" w:rsidRPr="003D2BB8" w:rsidRDefault="00CE0618" w:rsidP="00CE0618">
      <w:pPr>
        <w:ind w:left="1440" w:firstLine="720"/>
        <w:rPr>
          <w:b/>
          <w:sz w:val="24"/>
          <w:szCs w:val="24"/>
        </w:rPr>
      </w:pPr>
    </w:p>
    <w:p w:rsidR="00CE0618" w:rsidRPr="003D2BB8" w:rsidRDefault="00CE0618" w:rsidP="00CE0618">
      <w:pPr>
        <w:rPr>
          <w:b/>
          <w:sz w:val="24"/>
          <w:szCs w:val="24"/>
        </w:rPr>
      </w:pPr>
      <w:r w:rsidRPr="003D2BB8">
        <w:rPr>
          <w:b/>
          <w:sz w:val="24"/>
          <w:szCs w:val="24"/>
        </w:rPr>
        <w:tab/>
      </w:r>
      <w:r w:rsidRPr="003D2BB8">
        <w:rPr>
          <w:b/>
          <w:sz w:val="24"/>
          <w:szCs w:val="24"/>
        </w:rPr>
        <w:tab/>
      </w:r>
      <w:r w:rsidRPr="003D2BB8">
        <w:rPr>
          <w:b/>
          <w:sz w:val="24"/>
          <w:szCs w:val="24"/>
        </w:rPr>
        <w:tab/>
      </w:r>
    </w:p>
    <w:p w:rsidR="00CE0618" w:rsidRPr="003D2BB8" w:rsidRDefault="00CE0618" w:rsidP="00CE0618">
      <w:pPr>
        <w:rPr>
          <w:b/>
          <w:sz w:val="24"/>
          <w:szCs w:val="24"/>
        </w:rPr>
      </w:pPr>
      <w:r w:rsidRPr="003D2BB8">
        <w:rPr>
          <w:b/>
          <w:sz w:val="24"/>
          <w:szCs w:val="24"/>
        </w:rPr>
        <w:t>Lead Site:</w:t>
      </w:r>
      <w:r w:rsidRPr="003D2BB8">
        <w:rPr>
          <w:b/>
          <w:sz w:val="24"/>
          <w:szCs w:val="24"/>
        </w:rPr>
        <w:tab/>
      </w:r>
      <w:r w:rsidRPr="003D2BB8">
        <w:rPr>
          <w:b/>
          <w:sz w:val="24"/>
          <w:szCs w:val="24"/>
        </w:rPr>
        <w:tab/>
        <w:t>Royal Adelaide Hospital</w:t>
      </w:r>
    </w:p>
    <w:p w:rsidR="00CE0618" w:rsidRPr="003D2BB8" w:rsidRDefault="00CE0618" w:rsidP="00CE0618">
      <w:pPr>
        <w:rPr>
          <w:b/>
          <w:sz w:val="24"/>
          <w:szCs w:val="24"/>
        </w:rPr>
      </w:pPr>
      <w:r w:rsidRPr="003D2BB8">
        <w:rPr>
          <w:b/>
          <w:sz w:val="24"/>
          <w:szCs w:val="24"/>
        </w:rPr>
        <w:tab/>
      </w:r>
      <w:r w:rsidRPr="003D2BB8">
        <w:rPr>
          <w:b/>
          <w:sz w:val="24"/>
          <w:szCs w:val="24"/>
        </w:rPr>
        <w:tab/>
      </w:r>
      <w:r w:rsidRPr="003D2BB8">
        <w:rPr>
          <w:b/>
          <w:sz w:val="24"/>
          <w:szCs w:val="24"/>
        </w:rPr>
        <w:tab/>
        <w:t>Cancer Clinical Trials Unit</w:t>
      </w:r>
    </w:p>
    <w:p w:rsidR="00CE0618" w:rsidRPr="003D2BB8" w:rsidRDefault="00CE0618" w:rsidP="00CE0618">
      <w:pPr>
        <w:rPr>
          <w:b/>
          <w:sz w:val="24"/>
          <w:szCs w:val="24"/>
        </w:rPr>
      </w:pPr>
      <w:r w:rsidRPr="003D2BB8">
        <w:rPr>
          <w:b/>
          <w:sz w:val="24"/>
          <w:szCs w:val="24"/>
        </w:rPr>
        <w:tab/>
      </w:r>
      <w:r w:rsidRPr="003D2BB8">
        <w:rPr>
          <w:b/>
          <w:sz w:val="24"/>
          <w:szCs w:val="24"/>
        </w:rPr>
        <w:tab/>
      </w:r>
      <w:r w:rsidRPr="003D2BB8">
        <w:rPr>
          <w:b/>
          <w:sz w:val="24"/>
          <w:szCs w:val="24"/>
        </w:rPr>
        <w:tab/>
        <w:t>Anne Milton, Clinical Trials Manager</w:t>
      </w:r>
    </w:p>
    <w:p w:rsidR="00CE0618" w:rsidRPr="003D2BB8" w:rsidRDefault="00CE0618" w:rsidP="00CE0618">
      <w:pPr>
        <w:rPr>
          <w:b/>
          <w:sz w:val="24"/>
          <w:szCs w:val="24"/>
        </w:rPr>
      </w:pPr>
    </w:p>
    <w:p w:rsidR="00CE0618" w:rsidRPr="003D2BB8" w:rsidRDefault="00CE0618" w:rsidP="00CE0618">
      <w:pPr>
        <w:rPr>
          <w:b/>
          <w:sz w:val="24"/>
          <w:szCs w:val="24"/>
        </w:rPr>
      </w:pPr>
    </w:p>
    <w:p w:rsidR="00CE0618" w:rsidRPr="003D2BB8" w:rsidRDefault="00CE0618" w:rsidP="00CE0618">
      <w:pPr>
        <w:rPr>
          <w:sz w:val="24"/>
          <w:szCs w:val="24"/>
        </w:rPr>
      </w:pPr>
      <w:r w:rsidRPr="003D2BB8">
        <w:rPr>
          <w:sz w:val="24"/>
          <w:szCs w:val="24"/>
        </w:rPr>
        <w:t>INVESTIGATORS STATEMENT</w:t>
      </w:r>
    </w:p>
    <w:p w:rsidR="00CE0618" w:rsidRPr="003D2BB8" w:rsidRDefault="00CE0618" w:rsidP="00CE0618">
      <w:pPr>
        <w:rPr>
          <w:sz w:val="24"/>
          <w:szCs w:val="24"/>
        </w:rPr>
      </w:pPr>
    </w:p>
    <w:p w:rsidR="00CE0618" w:rsidRPr="003D2BB8" w:rsidRDefault="00CE0618" w:rsidP="00CE0618">
      <w:pPr>
        <w:rPr>
          <w:sz w:val="24"/>
          <w:szCs w:val="24"/>
        </w:rPr>
      </w:pPr>
      <w:proofErr w:type="gramStart"/>
      <w:r w:rsidRPr="003D2BB8">
        <w:rPr>
          <w:sz w:val="24"/>
          <w:szCs w:val="24"/>
        </w:rPr>
        <w:t>I, …………………………………………………………….</w:t>
      </w:r>
      <w:proofErr w:type="gramEnd"/>
      <w:r w:rsidRPr="003D2BB8">
        <w:rPr>
          <w:sz w:val="24"/>
          <w:szCs w:val="24"/>
        </w:rPr>
        <w:t xml:space="preserve"> THE UNDERSIGNED, UNDERSTAND THAT THE STUDY WILL NOT BE STARTED WITHOUT PRIOR WRITTEN APPROVAL OF THE Human Research Ethics Committee. No changes will be made to the study protocol without the prior written approval of the Sponsor and the Research Ethics Committee.</w:t>
      </w:r>
    </w:p>
    <w:p w:rsidR="00CE0618" w:rsidRPr="003D2BB8" w:rsidRDefault="00CE0618" w:rsidP="00CE0618">
      <w:pPr>
        <w:rPr>
          <w:sz w:val="24"/>
          <w:szCs w:val="24"/>
        </w:rPr>
      </w:pPr>
    </w:p>
    <w:p w:rsidR="00CE0618" w:rsidRPr="003D2BB8" w:rsidRDefault="00CE0618" w:rsidP="00CE0618">
      <w:pPr>
        <w:rPr>
          <w:sz w:val="24"/>
          <w:szCs w:val="24"/>
        </w:rPr>
      </w:pPr>
      <w:r w:rsidRPr="003D2BB8">
        <w:rPr>
          <w:sz w:val="24"/>
          <w:szCs w:val="24"/>
        </w:rPr>
        <w:t>I have read, understood, and agree to abide by all the conditions and instructions contained in this protocol. I agree to comply with the ICH Harmonized Tripartite Guideline for Good Clinical Practice for conducting clinical trials and local regulations and will conduct thee above study under these standards.</w:t>
      </w:r>
    </w:p>
    <w:p w:rsidR="00CE0618" w:rsidRPr="003D2BB8" w:rsidRDefault="00CE0618" w:rsidP="00CE0618">
      <w:pPr>
        <w:rPr>
          <w:sz w:val="24"/>
          <w:szCs w:val="24"/>
        </w:rPr>
      </w:pPr>
    </w:p>
    <w:p w:rsidR="00CE0618" w:rsidRPr="003D2BB8" w:rsidRDefault="00CE0618" w:rsidP="00CE0618">
      <w:pPr>
        <w:rPr>
          <w:sz w:val="24"/>
          <w:szCs w:val="24"/>
        </w:rPr>
      </w:pPr>
      <w:r w:rsidRPr="003D2BB8">
        <w:rPr>
          <w:sz w:val="24"/>
          <w:szCs w:val="24"/>
        </w:rPr>
        <w:t>___________________</w:t>
      </w:r>
      <w:r w:rsidRPr="003D2BB8">
        <w:rPr>
          <w:sz w:val="24"/>
          <w:szCs w:val="24"/>
        </w:rPr>
        <w:tab/>
      </w:r>
      <w:r w:rsidRPr="003D2BB8">
        <w:rPr>
          <w:sz w:val="24"/>
          <w:szCs w:val="24"/>
        </w:rPr>
        <w:tab/>
      </w:r>
      <w:r w:rsidRPr="003D2BB8">
        <w:rPr>
          <w:sz w:val="24"/>
          <w:szCs w:val="24"/>
        </w:rPr>
        <w:tab/>
      </w:r>
      <w:r w:rsidRPr="003D2BB8">
        <w:rPr>
          <w:sz w:val="24"/>
          <w:szCs w:val="24"/>
        </w:rPr>
        <w:tab/>
      </w:r>
      <w:r w:rsidRPr="003D2BB8">
        <w:rPr>
          <w:sz w:val="24"/>
          <w:szCs w:val="24"/>
        </w:rPr>
        <w:tab/>
        <w:t>_________________</w:t>
      </w:r>
    </w:p>
    <w:p w:rsidR="00CE0618" w:rsidRPr="003D2BB8" w:rsidRDefault="00CE0618" w:rsidP="00CE0618">
      <w:pPr>
        <w:rPr>
          <w:sz w:val="24"/>
          <w:szCs w:val="24"/>
        </w:rPr>
      </w:pPr>
      <w:r w:rsidRPr="003D2BB8">
        <w:rPr>
          <w:sz w:val="24"/>
          <w:szCs w:val="24"/>
        </w:rPr>
        <w:t>Principal Investigator</w:t>
      </w:r>
      <w:r w:rsidRPr="003D2BB8">
        <w:rPr>
          <w:sz w:val="24"/>
          <w:szCs w:val="24"/>
        </w:rPr>
        <w:tab/>
      </w:r>
      <w:r w:rsidRPr="003D2BB8">
        <w:rPr>
          <w:sz w:val="24"/>
          <w:szCs w:val="24"/>
        </w:rPr>
        <w:tab/>
      </w:r>
      <w:r w:rsidRPr="003D2BB8">
        <w:rPr>
          <w:sz w:val="24"/>
          <w:szCs w:val="24"/>
        </w:rPr>
        <w:tab/>
      </w:r>
      <w:r w:rsidRPr="003D2BB8">
        <w:rPr>
          <w:sz w:val="24"/>
          <w:szCs w:val="24"/>
        </w:rPr>
        <w:tab/>
      </w:r>
      <w:r w:rsidRPr="003D2BB8">
        <w:rPr>
          <w:sz w:val="24"/>
          <w:szCs w:val="24"/>
        </w:rPr>
        <w:tab/>
      </w:r>
      <w:r w:rsidRPr="003D2BB8">
        <w:rPr>
          <w:sz w:val="24"/>
          <w:szCs w:val="24"/>
        </w:rPr>
        <w:tab/>
        <w:t>Date</w:t>
      </w:r>
    </w:p>
    <w:p w:rsidR="00CE0618" w:rsidRPr="003D2BB8" w:rsidRDefault="00CE0618" w:rsidP="00CE0618">
      <w:pPr>
        <w:rPr>
          <w:b/>
          <w:sz w:val="24"/>
          <w:szCs w:val="24"/>
        </w:rPr>
      </w:pPr>
    </w:p>
    <w:p w:rsidR="00CE0618" w:rsidRPr="003D2BB8" w:rsidRDefault="00CE0618" w:rsidP="00CE0618">
      <w:pPr>
        <w:rPr>
          <w:b/>
          <w:sz w:val="24"/>
          <w:szCs w:val="24"/>
        </w:rPr>
      </w:pPr>
    </w:p>
    <w:p w:rsidR="00CE0618" w:rsidRPr="003D2BB8" w:rsidRDefault="00CE0618" w:rsidP="00CE0618">
      <w:pPr>
        <w:rPr>
          <w:b/>
          <w:sz w:val="24"/>
          <w:szCs w:val="24"/>
        </w:rPr>
      </w:pPr>
    </w:p>
    <w:p w:rsidR="00CE0618" w:rsidRPr="003D2BB8" w:rsidRDefault="00CE0618" w:rsidP="00CE0618">
      <w:pPr>
        <w:rPr>
          <w:b/>
          <w:sz w:val="24"/>
          <w:szCs w:val="24"/>
        </w:rPr>
      </w:pPr>
    </w:p>
    <w:p w:rsidR="00CE0618" w:rsidRPr="003D2BB8" w:rsidRDefault="00CE0618" w:rsidP="00CE0618">
      <w:pPr>
        <w:rPr>
          <w:b/>
          <w:sz w:val="24"/>
          <w:szCs w:val="24"/>
        </w:rPr>
      </w:pPr>
    </w:p>
    <w:p w:rsidR="00CE0618" w:rsidRPr="003D2BB8" w:rsidRDefault="00CE0618" w:rsidP="00CE0618">
      <w:pPr>
        <w:rPr>
          <w:b/>
          <w:sz w:val="24"/>
          <w:szCs w:val="24"/>
        </w:rPr>
      </w:pPr>
    </w:p>
    <w:p w:rsidR="00CE0618" w:rsidRPr="003D2BB8" w:rsidRDefault="00CE0618" w:rsidP="00CE0618">
      <w:pPr>
        <w:rPr>
          <w:b/>
          <w:sz w:val="24"/>
          <w:szCs w:val="24"/>
        </w:rPr>
      </w:pPr>
    </w:p>
    <w:p w:rsidR="00CE0618" w:rsidRPr="003D2BB8" w:rsidRDefault="00CE0618" w:rsidP="00CE0618">
      <w:pPr>
        <w:rPr>
          <w:b/>
          <w:sz w:val="24"/>
          <w:szCs w:val="24"/>
        </w:rPr>
      </w:pPr>
    </w:p>
    <w:p w:rsidR="00CE0618" w:rsidRPr="003D2BB8" w:rsidRDefault="00CE0618" w:rsidP="00CE0618">
      <w:pPr>
        <w:rPr>
          <w:b/>
          <w:sz w:val="24"/>
          <w:szCs w:val="24"/>
        </w:rPr>
      </w:pPr>
    </w:p>
    <w:p w:rsidR="00CE0618" w:rsidRPr="003D2BB8" w:rsidRDefault="00CE0618" w:rsidP="00CE0618">
      <w:pPr>
        <w:rPr>
          <w:b/>
          <w:sz w:val="24"/>
          <w:szCs w:val="24"/>
        </w:rPr>
      </w:pPr>
    </w:p>
    <w:p w:rsidR="00CE0618" w:rsidRPr="003D2BB8" w:rsidRDefault="00CE0618" w:rsidP="00CE0618">
      <w:pPr>
        <w:rPr>
          <w:b/>
          <w:sz w:val="24"/>
          <w:szCs w:val="24"/>
        </w:rPr>
      </w:pPr>
    </w:p>
    <w:p w:rsidR="00CE0618" w:rsidRPr="003D2BB8" w:rsidRDefault="00CE0618" w:rsidP="00CE0618">
      <w:pPr>
        <w:rPr>
          <w:b/>
          <w:sz w:val="24"/>
          <w:szCs w:val="24"/>
        </w:rPr>
      </w:pPr>
    </w:p>
    <w:p w:rsidR="00CE0618" w:rsidRPr="003D2BB8" w:rsidRDefault="00CE0618" w:rsidP="00CE0618">
      <w:pPr>
        <w:rPr>
          <w:b/>
          <w:sz w:val="24"/>
          <w:szCs w:val="24"/>
        </w:rPr>
      </w:pPr>
      <w:r w:rsidRPr="003D2BB8">
        <w:rPr>
          <w:b/>
          <w:sz w:val="24"/>
          <w:szCs w:val="24"/>
        </w:rPr>
        <w:lastRenderedPageBreak/>
        <w:t>Background</w:t>
      </w:r>
    </w:p>
    <w:p w:rsidR="00CE0618" w:rsidRPr="003D2BB8" w:rsidRDefault="00CE0618" w:rsidP="00CE0618">
      <w:pPr>
        <w:rPr>
          <w:color w:val="403838"/>
          <w:sz w:val="24"/>
          <w:szCs w:val="24"/>
          <w:shd w:val="clear" w:color="auto" w:fill="FFFFFF"/>
        </w:rPr>
      </w:pPr>
      <w:r w:rsidRPr="003D2BB8">
        <w:rPr>
          <w:sz w:val="24"/>
          <w:szCs w:val="24"/>
        </w:rPr>
        <w:t xml:space="preserve">Gastric cancer (GC) is the fourth most common cancer globally, and the second leading cause of cancer death. </w:t>
      </w:r>
      <w:r w:rsidRPr="003D2BB8">
        <w:rPr>
          <w:color w:val="403838"/>
          <w:sz w:val="24"/>
          <w:szCs w:val="24"/>
          <w:shd w:val="clear" w:color="auto" w:fill="FFFFFF"/>
        </w:rPr>
        <w:t xml:space="preserve">With an annual global incidence of more than 952,000 cases of gastric cancer (GC) and 456,000 cases of </w:t>
      </w:r>
      <w:proofErr w:type="spellStart"/>
      <w:r w:rsidRPr="003D2BB8">
        <w:rPr>
          <w:color w:val="403838"/>
          <w:sz w:val="24"/>
          <w:szCs w:val="24"/>
          <w:shd w:val="clear" w:color="auto" w:fill="FFFFFF"/>
        </w:rPr>
        <w:t>esophageal</w:t>
      </w:r>
      <w:proofErr w:type="spellEnd"/>
      <w:r w:rsidRPr="003D2BB8">
        <w:rPr>
          <w:color w:val="403838"/>
          <w:sz w:val="24"/>
          <w:szCs w:val="24"/>
          <w:shd w:val="clear" w:color="auto" w:fill="FFFFFF"/>
        </w:rPr>
        <w:t xml:space="preserve"> cancer (EC), upper GI (UGI) malignancies are major worldwide cancer risks.</w:t>
      </w:r>
    </w:p>
    <w:p w:rsidR="00CE0618" w:rsidRPr="003D2BB8" w:rsidRDefault="00CE0618" w:rsidP="00CE0618">
      <w:pPr>
        <w:rPr>
          <w:rStyle w:val="apple-converted-space"/>
          <w:rFonts w:cs="Arial"/>
          <w:color w:val="403838"/>
          <w:sz w:val="24"/>
          <w:szCs w:val="24"/>
          <w:shd w:val="clear" w:color="auto" w:fill="FFFFFF"/>
        </w:rPr>
      </w:pPr>
      <w:r w:rsidRPr="003D2BB8">
        <w:rPr>
          <w:color w:val="403838"/>
          <w:sz w:val="24"/>
          <w:szCs w:val="24"/>
          <w:shd w:val="clear" w:color="auto" w:fill="FFFFFF"/>
        </w:rPr>
        <w:t>Over the past 30 years in the West, the incidence trends of GC and EC, including gastroesophageal junction (GEJ) adenocarcinomas, have been trending in opposite directions.</w:t>
      </w:r>
      <w:r w:rsidRPr="003D2BB8">
        <w:rPr>
          <w:rStyle w:val="apple-converted-space"/>
          <w:rFonts w:cs="Arial"/>
          <w:color w:val="403838"/>
          <w:sz w:val="24"/>
          <w:szCs w:val="24"/>
          <w:shd w:val="clear" w:color="auto" w:fill="FFFFFF"/>
        </w:rPr>
        <w:t> </w:t>
      </w:r>
      <w:r w:rsidRPr="003D2BB8">
        <w:rPr>
          <w:color w:val="403838"/>
          <w:sz w:val="24"/>
          <w:szCs w:val="24"/>
          <w:shd w:val="clear" w:color="auto" w:fill="FFFFFF"/>
        </w:rPr>
        <w:t>In the United States, predictions for 2015 call for 18,170 new cases of EC, with 15,450 deaths, and 22,220 new cases of GC, with 10,990 deaths.</w:t>
      </w:r>
      <w:r w:rsidRPr="003D2BB8">
        <w:rPr>
          <w:rStyle w:val="apple-converted-space"/>
          <w:rFonts w:cs="Arial"/>
          <w:color w:val="403838"/>
          <w:sz w:val="24"/>
          <w:szCs w:val="24"/>
          <w:shd w:val="clear" w:color="auto" w:fill="FFFFFF"/>
        </w:rPr>
        <w:t> </w:t>
      </w:r>
    </w:p>
    <w:p w:rsidR="00CE0618" w:rsidRPr="003D2BB8" w:rsidRDefault="00CE0618" w:rsidP="00CE0618">
      <w:pPr>
        <w:rPr>
          <w:sz w:val="24"/>
          <w:szCs w:val="24"/>
          <w:lang w:eastAsia="en-AU"/>
        </w:rPr>
      </w:pPr>
      <w:r w:rsidRPr="003D2BB8">
        <w:rPr>
          <w:color w:val="403838"/>
          <w:sz w:val="24"/>
          <w:szCs w:val="24"/>
          <w:shd w:val="clear" w:color="auto" w:fill="FFFFFF"/>
        </w:rPr>
        <w:t xml:space="preserve">Complete surgical resection of GC remains the cornerstone of curative treatment. </w:t>
      </w:r>
      <w:r w:rsidRPr="003D2BB8">
        <w:rPr>
          <w:rStyle w:val="apple-converted-space"/>
          <w:rFonts w:cs="Arial"/>
          <w:color w:val="403838"/>
          <w:sz w:val="24"/>
          <w:szCs w:val="24"/>
          <w:shd w:val="clear" w:color="auto" w:fill="FFFFFF"/>
        </w:rPr>
        <w:t> </w:t>
      </w:r>
      <w:r w:rsidRPr="003D2BB8">
        <w:rPr>
          <w:sz w:val="24"/>
          <w:szCs w:val="24"/>
          <w:lang w:eastAsia="en-AU"/>
        </w:rPr>
        <w:t xml:space="preserve">The outcome among these patients </w:t>
      </w:r>
      <w:r w:rsidRPr="003D2BB8">
        <w:rPr>
          <w:rFonts w:eastAsia="OTNEJMQuadraat"/>
          <w:sz w:val="24"/>
          <w:szCs w:val="24"/>
          <w:lang w:eastAsia="en-AU"/>
        </w:rPr>
        <w:t>is determined</w:t>
      </w:r>
      <w:r w:rsidRPr="003D2BB8">
        <w:rPr>
          <w:sz w:val="24"/>
          <w:szCs w:val="24"/>
          <w:lang w:eastAsia="en-AU"/>
        </w:rPr>
        <w:t xml:space="preserve"> </w:t>
      </w:r>
      <w:r w:rsidRPr="003D2BB8">
        <w:rPr>
          <w:rFonts w:eastAsia="OTNEJMQuadraat"/>
          <w:sz w:val="24"/>
          <w:szCs w:val="24"/>
          <w:lang w:eastAsia="en-AU"/>
        </w:rPr>
        <w:t>by the stage of the disease at presentation.</w:t>
      </w:r>
      <w:r w:rsidRPr="003D2BB8">
        <w:rPr>
          <w:sz w:val="24"/>
          <w:szCs w:val="24"/>
          <w:lang w:eastAsia="en-AU"/>
        </w:rPr>
        <w:t xml:space="preserve"> </w:t>
      </w:r>
    </w:p>
    <w:p w:rsidR="00CE0618" w:rsidRPr="003D2BB8" w:rsidRDefault="00CE0618" w:rsidP="00CE0618">
      <w:pPr>
        <w:rPr>
          <w:sz w:val="24"/>
          <w:szCs w:val="24"/>
          <w:lang w:eastAsia="en-AU"/>
        </w:rPr>
      </w:pPr>
      <w:r w:rsidRPr="003D2BB8">
        <w:rPr>
          <w:sz w:val="24"/>
          <w:szCs w:val="24"/>
        </w:rPr>
        <w:t xml:space="preserve">In population-based series of Western populations, the five-year survival rate for patients with completely resected stage I gastric cancer is approximately 70 to 75 percent, while it drops to 35 percent or less for stage II disease and beyond.  </w:t>
      </w:r>
      <w:r w:rsidRPr="003D2BB8">
        <w:rPr>
          <w:color w:val="403838"/>
          <w:sz w:val="24"/>
          <w:szCs w:val="24"/>
          <w:shd w:val="clear" w:color="auto" w:fill="FFFFFF"/>
        </w:rPr>
        <w:t>Efforts to improve cure rates have included preoperative (neoadjuvant), perioperative, and postoperative therapies.</w:t>
      </w:r>
    </w:p>
    <w:p w:rsidR="00CE0618" w:rsidRPr="003D2BB8" w:rsidRDefault="00CE0618" w:rsidP="00CE0618">
      <w:pPr>
        <w:rPr>
          <w:sz w:val="24"/>
          <w:szCs w:val="24"/>
          <w:shd w:val="clear" w:color="auto" w:fill="FFFFFF"/>
        </w:rPr>
      </w:pPr>
      <w:r w:rsidRPr="003D2BB8">
        <w:rPr>
          <w:sz w:val="24"/>
          <w:szCs w:val="24"/>
          <w:shd w:val="clear" w:color="auto" w:fill="FFFFFF"/>
        </w:rPr>
        <w:t xml:space="preserve">The largest study supporting perioperative chemotherapy is the MAGIC phase III trial, which randomly assigned a total of 503 patients with stage II or III GC or GEJ </w:t>
      </w:r>
      <w:proofErr w:type="spellStart"/>
      <w:r w:rsidRPr="003D2BB8">
        <w:rPr>
          <w:sz w:val="24"/>
          <w:szCs w:val="24"/>
          <w:shd w:val="clear" w:color="auto" w:fill="FFFFFF"/>
        </w:rPr>
        <w:t>tumors</w:t>
      </w:r>
      <w:proofErr w:type="spellEnd"/>
      <w:r w:rsidRPr="003D2BB8">
        <w:rPr>
          <w:sz w:val="24"/>
          <w:szCs w:val="24"/>
          <w:shd w:val="clear" w:color="auto" w:fill="FFFFFF"/>
        </w:rPr>
        <w:t xml:space="preserve"> (74% and 26%, respectively) to three cycles of chemotherapy with cisplatin, </w:t>
      </w:r>
      <w:proofErr w:type="spellStart"/>
      <w:r w:rsidRPr="003D2BB8">
        <w:rPr>
          <w:sz w:val="24"/>
          <w:szCs w:val="24"/>
          <w:shd w:val="clear" w:color="auto" w:fill="FFFFFF"/>
        </w:rPr>
        <w:t>epirubicin</w:t>
      </w:r>
      <w:proofErr w:type="spellEnd"/>
      <w:r w:rsidRPr="003D2BB8">
        <w:rPr>
          <w:sz w:val="24"/>
          <w:szCs w:val="24"/>
          <w:shd w:val="clear" w:color="auto" w:fill="FFFFFF"/>
        </w:rPr>
        <w:t>, and continuous-infusion FU before and after surgery or surgery alone.</w:t>
      </w:r>
      <w:r w:rsidRPr="003D2BB8">
        <w:rPr>
          <w:rStyle w:val="apple-converted-space"/>
          <w:rFonts w:cs="Arial"/>
          <w:color w:val="403838"/>
          <w:sz w:val="24"/>
          <w:szCs w:val="24"/>
          <w:shd w:val="clear" w:color="auto" w:fill="FFFFFF"/>
        </w:rPr>
        <w:t> </w:t>
      </w:r>
      <w:r w:rsidRPr="003D2BB8">
        <w:rPr>
          <w:sz w:val="24"/>
          <w:szCs w:val="24"/>
          <w:shd w:val="clear" w:color="auto" w:fill="FFFFFF"/>
        </w:rPr>
        <w:t xml:space="preserve">Postoperative complications were similar in the two arms. OS and progression-free survival were significantly improved with the addition of perioperative chemotherapy, with 5-year survival increased from 23% to 36%. Although 86% of patients assigned to perioperative chemotherapy completed all planned preoperative chemotherapy, only 42% of patients completed both preoperative and postoperative systemic therapies. Patients undergoing surgery were 92% and curative resection was achieved in 64%. Greater proportion of T1 and T2 </w:t>
      </w:r>
      <w:proofErr w:type="spellStart"/>
      <w:r w:rsidRPr="003D2BB8">
        <w:rPr>
          <w:sz w:val="24"/>
          <w:szCs w:val="24"/>
          <w:shd w:val="clear" w:color="auto" w:fill="FFFFFF"/>
        </w:rPr>
        <w:t>tumors</w:t>
      </w:r>
      <w:proofErr w:type="spellEnd"/>
      <w:r w:rsidRPr="003D2BB8">
        <w:rPr>
          <w:sz w:val="24"/>
          <w:szCs w:val="24"/>
          <w:shd w:val="clear" w:color="auto" w:fill="FFFFFF"/>
        </w:rPr>
        <w:t xml:space="preserve"> (51 vs 36%) and N0 and N1 (84 vs 70%) were noted in the pre-operative chemotherapy arm as compared to surgery alone. The French FFCD (Federation Francophone de </w:t>
      </w:r>
      <w:proofErr w:type="spellStart"/>
      <w:r w:rsidRPr="003D2BB8">
        <w:rPr>
          <w:sz w:val="24"/>
          <w:szCs w:val="24"/>
          <w:shd w:val="clear" w:color="auto" w:fill="FFFFFF"/>
        </w:rPr>
        <w:t>Cancerologie</w:t>
      </w:r>
      <w:proofErr w:type="spellEnd"/>
      <w:r w:rsidRPr="003D2BB8">
        <w:rPr>
          <w:sz w:val="24"/>
          <w:szCs w:val="24"/>
          <w:shd w:val="clear" w:color="auto" w:fill="FFFFFF"/>
        </w:rPr>
        <w:t xml:space="preserve"> Digestive) 9703 trial also reported benefit from perioperative chemotherapy, with 5-year OS improvement from 24% to 38% in favour of perioperative chemotherapy.</w:t>
      </w:r>
      <w:hyperlink r:id="rId8" w:anchor="ref-11" w:history="1"/>
      <w:r w:rsidRPr="003D2BB8">
        <w:rPr>
          <w:rStyle w:val="apple-converted-space"/>
          <w:rFonts w:cs="Arial"/>
          <w:color w:val="403838"/>
          <w:sz w:val="24"/>
          <w:szCs w:val="24"/>
          <w:shd w:val="clear" w:color="auto" w:fill="FFFFFF"/>
        </w:rPr>
        <w:t> </w:t>
      </w:r>
      <w:r w:rsidRPr="003D2BB8">
        <w:rPr>
          <w:sz w:val="24"/>
          <w:szCs w:val="24"/>
          <w:shd w:val="clear" w:color="auto" w:fill="FFFFFF"/>
        </w:rPr>
        <w:t xml:space="preserve">As in the MAGIC study, the majority of patients completed preoperative treatment (87%), whereas fewer than half (48%) received the postoperative component. In a study by </w:t>
      </w:r>
      <w:proofErr w:type="spellStart"/>
      <w:r w:rsidRPr="003D2BB8">
        <w:rPr>
          <w:sz w:val="24"/>
          <w:szCs w:val="24"/>
          <w:shd w:val="clear" w:color="auto" w:fill="FFFFFF"/>
        </w:rPr>
        <w:t>Vallbo¨hmer</w:t>
      </w:r>
      <w:proofErr w:type="spellEnd"/>
      <w:r w:rsidRPr="003D2BB8">
        <w:rPr>
          <w:sz w:val="24"/>
          <w:szCs w:val="24"/>
          <w:shd w:val="clear" w:color="auto" w:fill="FFFFFF"/>
        </w:rPr>
        <w:t xml:space="preserve"> et al 42 patients were treated with neoadjuvant chemo followed by curative resection in 88%. A &gt;50% pathological response was seen in 15% and correlated with better survival. In another study looking at </w:t>
      </w:r>
      <w:proofErr w:type="spellStart"/>
      <w:r w:rsidRPr="003D2BB8">
        <w:rPr>
          <w:sz w:val="24"/>
          <w:szCs w:val="24"/>
          <w:shd w:val="clear" w:color="auto" w:fill="FFFFFF"/>
        </w:rPr>
        <w:t>tumor</w:t>
      </w:r>
      <w:proofErr w:type="spellEnd"/>
      <w:r w:rsidRPr="003D2BB8">
        <w:rPr>
          <w:sz w:val="24"/>
          <w:szCs w:val="24"/>
          <w:shd w:val="clear" w:color="auto" w:fill="FFFFFF"/>
        </w:rPr>
        <w:t xml:space="preserve"> regression and survival after preoperative ECF chemotherapy, pathological </w:t>
      </w:r>
      <w:proofErr w:type="spellStart"/>
      <w:r w:rsidRPr="003D2BB8">
        <w:rPr>
          <w:sz w:val="24"/>
          <w:szCs w:val="24"/>
          <w:shd w:val="clear" w:color="auto" w:fill="FFFFFF"/>
        </w:rPr>
        <w:t>tumor</w:t>
      </w:r>
      <w:proofErr w:type="spellEnd"/>
      <w:r w:rsidRPr="003D2BB8">
        <w:rPr>
          <w:sz w:val="24"/>
          <w:szCs w:val="24"/>
          <w:shd w:val="clear" w:color="auto" w:fill="FFFFFF"/>
        </w:rPr>
        <w:t xml:space="preserve"> response (any response) was noted in 35%. </w:t>
      </w:r>
    </w:p>
    <w:p w:rsidR="00CE0618" w:rsidRPr="003D2BB8" w:rsidRDefault="00CE0618" w:rsidP="00CE0618">
      <w:pPr>
        <w:rPr>
          <w:color w:val="403838"/>
          <w:sz w:val="24"/>
          <w:szCs w:val="24"/>
          <w:shd w:val="clear" w:color="auto" w:fill="FFFFFF"/>
        </w:rPr>
      </w:pPr>
      <w:r w:rsidRPr="003D2BB8">
        <w:rPr>
          <w:color w:val="403838"/>
          <w:sz w:val="24"/>
          <w:szCs w:val="24"/>
          <w:shd w:val="clear" w:color="auto" w:fill="FFFFFF"/>
        </w:rPr>
        <w:t xml:space="preserve">A recent review of 14 randomized controlled trials with 2,422 patients with gastroesophageal adenocarcinoma found that preoperative chemotherapy conferred a </w:t>
      </w:r>
      <w:r w:rsidRPr="003D2BB8">
        <w:rPr>
          <w:color w:val="403838"/>
          <w:sz w:val="24"/>
          <w:szCs w:val="24"/>
          <w:shd w:val="clear" w:color="auto" w:fill="FFFFFF"/>
        </w:rPr>
        <w:lastRenderedPageBreak/>
        <w:t>longer OS (HR, 0.81; 95% CI, 0.73 to 0.89;</w:t>
      </w:r>
      <w:r w:rsidRPr="003D2BB8">
        <w:rPr>
          <w:rStyle w:val="apple-converted-space"/>
          <w:rFonts w:cs="Arial"/>
          <w:color w:val="403838"/>
          <w:sz w:val="24"/>
          <w:szCs w:val="24"/>
          <w:shd w:val="clear" w:color="auto" w:fill="FFFFFF"/>
        </w:rPr>
        <w:t> </w:t>
      </w:r>
      <w:r w:rsidRPr="003D2BB8">
        <w:rPr>
          <w:rStyle w:val="Emphasis"/>
          <w:rFonts w:cs="Arial"/>
          <w:color w:val="403838"/>
          <w:sz w:val="24"/>
          <w:szCs w:val="24"/>
          <w:bdr w:val="none" w:sz="0" w:space="0" w:color="auto" w:frame="1"/>
          <w:shd w:val="clear" w:color="auto" w:fill="FFFFFF"/>
        </w:rPr>
        <w:t>P</w:t>
      </w:r>
      <w:r w:rsidRPr="003D2BB8">
        <w:rPr>
          <w:rStyle w:val="apple-converted-space"/>
          <w:rFonts w:cs="Arial"/>
          <w:color w:val="403838"/>
          <w:sz w:val="24"/>
          <w:szCs w:val="24"/>
          <w:shd w:val="clear" w:color="auto" w:fill="FFFFFF"/>
        </w:rPr>
        <w:t> </w:t>
      </w:r>
      <w:r w:rsidRPr="003D2BB8">
        <w:rPr>
          <w:color w:val="403838"/>
          <w:sz w:val="24"/>
          <w:szCs w:val="24"/>
          <w:shd w:val="clear" w:color="auto" w:fill="FFFFFF"/>
        </w:rPr>
        <w:t xml:space="preserve">&lt; .001) compared with surgery alone and was associated with longer disease-free survival, higher likelihood of R0 resection, and increased </w:t>
      </w:r>
      <w:proofErr w:type="spellStart"/>
      <w:r w:rsidRPr="003D2BB8">
        <w:rPr>
          <w:color w:val="403838"/>
          <w:sz w:val="24"/>
          <w:szCs w:val="24"/>
          <w:shd w:val="clear" w:color="auto" w:fill="FFFFFF"/>
        </w:rPr>
        <w:t>tumor</w:t>
      </w:r>
      <w:proofErr w:type="spellEnd"/>
      <w:r w:rsidRPr="003D2BB8">
        <w:rPr>
          <w:color w:val="403838"/>
          <w:sz w:val="24"/>
          <w:szCs w:val="24"/>
          <w:shd w:val="clear" w:color="auto" w:fill="FFFFFF"/>
        </w:rPr>
        <w:t xml:space="preserve"> </w:t>
      </w:r>
      <w:proofErr w:type="spellStart"/>
      <w:r w:rsidRPr="003D2BB8">
        <w:rPr>
          <w:color w:val="403838"/>
          <w:sz w:val="24"/>
          <w:szCs w:val="24"/>
          <w:shd w:val="clear" w:color="auto" w:fill="FFFFFF"/>
        </w:rPr>
        <w:t>downstaging</w:t>
      </w:r>
      <w:proofErr w:type="spellEnd"/>
      <w:r w:rsidRPr="003D2BB8">
        <w:rPr>
          <w:color w:val="403838"/>
          <w:sz w:val="24"/>
          <w:szCs w:val="24"/>
          <w:shd w:val="clear" w:color="auto" w:fill="FFFFFF"/>
        </w:rPr>
        <w:t xml:space="preserve"> without increased perioperative complications.</w:t>
      </w:r>
    </w:p>
    <w:p w:rsidR="00CE0618" w:rsidRPr="003D2BB8" w:rsidRDefault="00CE0618" w:rsidP="00CE0618">
      <w:pPr>
        <w:rPr>
          <w:rStyle w:val="apple-converted-space"/>
          <w:rFonts w:cs="Arial"/>
          <w:color w:val="403838"/>
          <w:sz w:val="24"/>
          <w:szCs w:val="24"/>
          <w:shd w:val="clear" w:color="auto" w:fill="FFFFFF"/>
        </w:rPr>
      </w:pPr>
      <w:r w:rsidRPr="003D2BB8">
        <w:rPr>
          <w:color w:val="403838"/>
          <w:sz w:val="24"/>
          <w:szCs w:val="24"/>
          <w:shd w:val="clear" w:color="auto" w:fill="FFFFFF"/>
        </w:rPr>
        <w:t xml:space="preserve">Results from completed perioperative trials do not suggest a best systemic combination therapy. Although </w:t>
      </w:r>
      <w:proofErr w:type="spellStart"/>
      <w:r w:rsidRPr="003D2BB8">
        <w:rPr>
          <w:color w:val="403838"/>
          <w:sz w:val="24"/>
          <w:szCs w:val="24"/>
          <w:shd w:val="clear" w:color="auto" w:fill="FFFFFF"/>
        </w:rPr>
        <w:t>fluoropyrimidine</w:t>
      </w:r>
      <w:proofErr w:type="spellEnd"/>
      <w:r w:rsidRPr="003D2BB8">
        <w:rPr>
          <w:color w:val="403838"/>
          <w:sz w:val="24"/>
          <w:szCs w:val="24"/>
          <w:shd w:val="clear" w:color="auto" w:fill="FFFFFF"/>
        </w:rPr>
        <w:t xml:space="preserve"> and platinum combinations have been the most tested, the contribution of adding an anthracycline or </w:t>
      </w:r>
      <w:proofErr w:type="spellStart"/>
      <w:r w:rsidRPr="003D2BB8">
        <w:rPr>
          <w:color w:val="403838"/>
          <w:sz w:val="24"/>
          <w:szCs w:val="24"/>
          <w:shd w:val="clear" w:color="auto" w:fill="FFFFFF"/>
        </w:rPr>
        <w:t>taxane</w:t>
      </w:r>
      <w:proofErr w:type="spellEnd"/>
      <w:r w:rsidRPr="003D2BB8">
        <w:rPr>
          <w:color w:val="403838"/>
          <w:sz w:val="24"/>
          <w:szCs w:val="24"/>
          <w:shd w:val="clear" w:color="auto" w:fill="FFFFFF"/>
        </w:rPr>
        <w:t xml:space="preserve"> has not been adequately addressed and is being evaluated in an ongoing Dutch study</w:t>
      </w:r>
      <w:r w:rsidRPr="003D2BB8">
        <w:rPr>
          <w:rStyle w:val="apple-converted-space"/>
          <w:rFonts w:cs="Arial"/>
          <w:color w:val="403838"/>
          <w:sz w:val="24"/>
          <w:szCs w:val="24"/>
          <w:shd w:val="clear" w:color="auto" w:fill="FFFFFF"/>
        </w:rPr>
        <w:t xml:space="preserve">. </w:t>
      </w:r>
      <w:proofErr w:type="spellStart"/>
      <w:r w:rsidRPr="003D2BB8">
        <w:rPr>
          <w:rStyle w:val="apple-converted-space"/>
          <w:rFonts w:cs="Arial"/>
          <w:color w:val="403838"/>
          <w:sz w:val="24"/>
          <w:szCs w:val="24"/>
          <w:shd w:val="clear" w:color="auto" w:fill="FFFFFF"/>
        </w:rPr>
        <w:t>Oxaliplatin</w:t>
      </w:r>
      <w:proofErr w:type="spellEnd"/>
      <w:r w:rsidRPr="003D2BB8">
        <w:rPr>
          <w:rStyle w:val="apple-converted-space"/>
          <w:rFonts w:cs="Arial"/>
          <w:color w:val="403838"/>
          <w:sz w:val="24"/>
          <w:szCs w:val="24"/>
          <w:shd w:val="clear" w:color="auto" w:fill="FFFFFF"/>
        </w:rPr>
        <w:t xml:space="preserve"> and irinotecan have shown better efficacy and tolerability than the standard ECF regimen in advanced/ metastatic gastric cancer. In a phase III trial, </w:t>
      </w:r>
      <w:proofErr w:type="spellStart"/>
      <w:r w:rsidRPr="003D2BB8">
        <w:rPr>
          <w:rStyle w:val="apple-converted-space"/>
          <w:rFonts w:cs="Arial"/>
          <w:color w:val="403838"/>
          <w:sz w:val="24"/>
          <w:szCs w:val="24"/>
          <w:shd w:val="clear" w:color="auto" w:fill="FFFFFF"/>
        </w:rPr>
        <w:t>Epirubicin</w:t>
      </w:r>
      <w:proofErr w:type="spellEnd"/>
      <w:r w:rsidRPr="003D2BB8">
        <w:rPr>
          <w:rStyle w:val="apple-converted-space"/>
          <w:rFonts w:cs="Arial"/>
          <w:color w:val="403838"/>
          <w:sz w:val="24"/>
          <w:szCs w:val="24"/>
          <w:shd w:val="clear" w:color="auto" w:fill="FFFFFF"/>
        </w:rPr>
        <w:t xml:space="preserve">, </w:t>
      </w:r>
      <w:proofErr w:type="spellStart"/>
      <w:r w:rsidRPr="003D2BB8">
        <w:rPr>
          <w:rStyle w:val="apple-converted-space"/>
          <w:rFonts w:cs="Arial"/>
          <w:color w:val="403838"/>
          <w:sz w:val="24"/>
          <w:szCs w:val="24"/>
          <w:shd w:val="clear" w:color="auto" w:fill="FFFFFF"/>
        </w:rPr>
        <w:t>Oxaliplatin</w:t>
      </w:r>
      <w:proofErr w:type="spellEnd"/>
      <w:r w:rsidRPr="003D2BB8">
        <w:rPr>
          <w:rStyle w:val="apple-converted-space"/>
          <w:rFonts w:cs="Arial"/>
          <w:color w:val="403838"/>
          <w:sz w:val="24"/>
          <w:szCs w:val="24"/>
          <w:shd w:val="clear" w:color="auto" w:fill="FFFFFF"/>
        </w:rPr>
        <w:t xml:space="preserve"> and FU (EOX) </w:t>
      </w:r>
      <w:proofErr w:type="gramStart"/>
      <w:r w:rsidRPr="003D2BB8">
        <w:rPr>
          <w:rStyle w:val="apple-converted-space"/>
          <w:rFonts w:cs="Arial"/>
          <w:color w:val="403838"/>
          <w:sz w:val="24"/>
          <w:szCs w:val="24"/>
          <w:shd w:val="clear" w:color="auto" w:fill="FFFFFF"/>
        </w:rPr>
        <w:t>was</w:t>
      </w:r>
      <w:proofErr w:type="gramEnd"/>
      <w:r w:rsidRPr="003D2BB8">
        <w:rPr>
          <w:rStyle w:val="apple-converted-space"/>
          <w:rFonts w:cs="Arial"/>
          <w:color w:val="403838"/>
          <w:sz w:val="24"/>
          <w:szCs w:val="24"/>
          <w:shd w:val="clear" w:color="auto" w:fill="FFFFFF"/>
        </w:rPr>
        <w:t xml:space="preserve"> found to be superior in terms of efficacy and tolerability against ECF. In another phase II randomised trial irinotecan was equally effective but better tolerated than ECF regimen. </w:t>
      </w:r>
    </w:p>
    <w:p w:rsidR="00CE0618" w:rsidRPr="003D2BB8" w:rsidRDefault="00CE0618" w:rsidP="00CE0618">
      <w:pPr>
        <w:rPr>
          <w:color w:val="403838"/>
          <w:sz w:val="24"/>
          <w:szCs w:val="24"/>
          <w:shd w:val="clear" w:color="auto" w:fill="FFFFFF"/>
        </w:rPr>
      </w:pPr>
      <w:proofErr w:type="spellStart"/>
      <w:r w:rsidRPr="003D2BB8">
        <w:rPr>
          <w:rStyle w:val="apple-converted-space"/>
          <w:rFonts w:cs="Arial"/>
          <w:color w:val="403838"/>
          <w:sz w:val="24"/>
          <w:szCs w:val="24"/>
          <w:shd w:val="clear" w:color="auto" w:fill="FFFFFF"/>
        </w:rPr>
        <w:t>Capecitabine</w:t>
      </w:r>
      <w:proofErr w:type="spellEnd"/>
      <w:r w:rsidRPr="003D2BB8">
        <w:rPr>
          <w:rStyle w:val="apple-converted-space"/>
          <w:rFonts w:cs="Arial"/>
          <w:color w:val="403838"/>
          <w:sz w:val="24"/>
          <w:szCs w:val="24"/>
          <w:shd w:val="clear" w:color="auto" w:fill="FFFFFF"/>
        </w:rPr>
        <w:t xml:space="preserve"> and </w:t>
      </w:r>
      <w:proofErr w:type="spellStart"/>
      <w:r w:rsidRPr="003D2BB8">
        <w:rPr>
          <w:rStyle w:val="apple-converted-space"/>
          <w:rFonts w:cs="Arial"/>
          <w:color w:val="403838"/>
          <w:sz w:val="24"/>
          <w:szCs w:val="24"/>
          <w:shd w:val="clear" w:color="auto" w:fill="FFFFFF"/>
        </w:rPr>
        <w:t>Oxaliplatin</w:t>
      </w:r>
      <w:proofErr w:type="spellEnd"/>
      <w:r w:rsidRPr="003D2BB8">
        <w:rPr>
          <w:rStyle w:val="apple-converted-space"/>
          <w:rFonts w:cs="Arial"/>
          <w:color w:val="403838"/>
          <w:sz w:val="24"/>
          <w:szCs w:val="24"/>
          <w:shd w:val="clear" w:color="auto" w:fill="FFFFFF"/>
        </w:rPr>
        <w:t xml:space="preserve"> </w:t>
      </w:r>
      <w:proofErr w:type="gramStart"/>
      <w:r w:rsidRPr="003D2BB8">
        <w:rPr>
          <w:rStyle w:val="apple-converted-space"/>
          <w:rFonts w:cs="Arial"/>
          <w:color w:val="403838"/>
          <w:sz w:val="24"/>
          <w:szCs w:val="24"/>
          <w:shd w:val="clear" w:color="auto" w:fill="FFFFFF"/>
        </w:rPr>
        <w:t>has</w:t>
      </w:r>
      <w:proofErr w:type="gramEnd"/>
      <w:r w:rsidRPr="003D2BB8">
        <w:rPr>
          <w:rStyle w:val="apple-converted-space"/>
          <w:rFonts w:cs="Arial"/>
          <w:color w:val="403838"/>
          <w:sz w:val="24"/>
          <w:szCs w:val="24"/>
          <w:shd w:val="clear" w:color="auto" w:fill="FFFFFF"/>
        </w:rPr>
        <w:t xml:space="preserve"> shown efficacy as adjuvant treatment post curative gastric resection in a large phase III randomised trial. In the CLASSIC trial, 1035 patients with stage II- IIIB gastric cancers were randomised (520 to receive chemotherapy and surgery, 515 </w:t>
      </w:r>
      <w:proofErr w:type="gramStart"/>
      <w:r w:rsidRPr="003D2BB8">
        <w:rPr>
          <w:rStyle w:val="apple-converted-space"/>
          <w:rFonts w:cs="Arial"/>
          <w:color w:val="403838"/>
          <w:sz w:val="24"/>
          <w:szCs w:val="24"/>
          <w:shd w:val="clear" w:color="auto" w:fill="FFFFFF"/>
        </w:rPr>
        <w:t>surgery</w:t>
      </w:r>
      <w:proofErr w:type="gramEnd"/>
      <w:r w:rsidRPr="003D2BB8">
        <w:rPr>
          <w:rStyle w:val="apple-converted-space"/>
          <w:rFonts w:cs="Arial"/>
          <w:color w:val="403838"/>
          <w:sz w:val="24"/>
          <w:szCs w:val="24"/>
          <w:shd w:val="clear" w:color="auto" w:fill="FFFFFF"/>
        </w:rPr>
        <w:t xml:space="preserve"> only). Adjuvant chemotherapy consisted of eight 3-week cycles of oral </w:t>
      </w:r>
      <w:proofErr w:type="spellStart"/>
      <w:r w:rsidRPr="003D2BB8">
        <w:rPr>
          <w:rStyle w:val="apple-converted-space"/>
          <w:rFonts w:cs="Arial"/>
          <w:color w:val="403838"/>
          <w:sz w:val="24"/>
          <w:szCs w:val="24"/>
          <w:shd w:val="clear" w:color="auto" w:fill="FFFFFF"/>
        </w:rPr>
        <w:t>capecitabine</w:t>
      </w:r>
      <w:proofErr w:type="spellEnd"/>
      <w:r w:rsidRPr="003D2BB8">
        <w:rPr>
          <w:rStyle w:val="apple-converted-space"/>
          <w:rFonts w:cs="Arial"/>
          <w:color w:val="403838"/>
          <w:sz w:val="24"/>
          <w:szCs w:val="24"/>
          <w:shd w:val="clear" w:color="auto" w:fill="FFFFFF"/>
        </w:rPr>
        <w:t xml:space="preserve"> (1000 mg/</w:t>
      </w:r>
      <w:proofErr w:type="gramStart"/>
      <w:r w:rsidRPr="003D2BB8">
        <w:rPr>
          <w:rStyle w:val="apple-converted-space"/>
          <w:rFonts w:cs="Arial"/>
          <w:color w:val="403838"/>
          <w:sz w:val="24"/>
          <w:szCs w:val="24"/>
          <w:shd w:val="clear" w:color="auto" w:fill="FFFFFF"/>
        </w:rPr>
        <w:t>m(</w:t>
      </w:r>
      <w:proofErr w:type="gramEnd"/>
      <w:r w:rsidRPr="003D2BB8">
        <w:rPr>
          <w:rStyle w:val="apple-converted-space"/>
          <w:rFonts w:cs="Arial"/>
          <w:color w:val="403838"/>
          <w:sz w:val="24"/>
          <w:szCs w:val="24"/>
          <w:shd w:val="clear" w:color="auto" w:fill="FFFFFF"/>
        </w:rPr>
        <w:t xml:space="preserve">2) twice daily on days 1 to 14 of each cycle) plus intravenous </w:t>
      </w:r>
      <w:proofErr w:type="spellStart"/>
      <w:r w:rsidRPr="003D2BB8">
        <w:rPr>
          <w:rStyle w:val="apple-converted-space"/>
          <w:rFonts w:cs="Arial"/>
          <w:color w:val="403838"/>
          <w:sz w:val="24"/>
          <w:szCs w:val="24"/>
          <w:shd w:val="clear" w:color="auto" w:fill="FFFFFF"/>
        </w:rPr>
        <w:t>oxaliplatin</w:t>
      </w:r>
      <w:proofErr w:type="spellEnd"/>
      <w:r w:rsidRPr="003D2BB8">
        <w:rPr>
          <w:rStyle w:val="apple-converted-space"/>
          <w:rFonts w:cs="Arial"/>
          <w:color w:val="403838"/>
          <w:sz w:val="24"/>
          <w:szCs w:val="24"/>
          <w:shd w:val="clear" w:color="auto" w:fill="FFFFFF"/>
        </w:rPr>
        <w:t xml:space="preserve"> (130 mg/m(2) on day 1 of each cycle). 3 year disease-free survival was 74% (95% CI 69-79) in the chemotherapy and surgery group and 59% (53-64) in the surgery only group (hazard ratio 0·56, 95% CI 0·44-0·72; p&lt;0·0001). Grade 3 or 4 adverse events were reported in 279 of 496 patients (56%) in the chemotherapy and surgery group and in 30 of 478 patients (6%) in the surgery only group. The most common adverse events in the intervention group were nausea (n=326), neutropenia (n=300), and decreased appetite (n=294).</w:t>
      </w:r>
    </w:p>
    <w:p w:rsidR="00CE0618" w:rsidRPr="003D2BB8" w:rsidRDefault="00CE0618" w:rsidP="00CE0618">
      <w:pPr>
        <w:rPr>
          <w:color w:val="000000"/>
          <w:sz w:val="24"/>
          <w:szCs w:val="24"/>
          <w:lang w:val="en"/>
        </w:rPr>
      </w:pPr>
      <w:proofErr w:type="spellStart"/>
      <w:r w:rsidRPr="003D2BB8">
        <w:rPr>
          <w:color w:val="000000"/>
          <w:sz w:val="24"/>
          <w:szCs w:val="24"/>
          <w:lang w:val="en"/>
        </w:rPr>
        <w:t>Folfirinox</w:t>
      </w:r>
      <w:proofErr w:type="spellEnd"/>
      <w:r w:rsidRPr="003D2BB8">
        <w:rPr>
          <w:color w:val="000000"/>
          <w:sz w:val="24"/>
          <w:szCs w:val="24"/>
          <w:lang w:val="en"/>
        </w:rPr>
        <w:t xml:space="preserve"> has established itself as a standard of care in advanced pancreatic and colorectal cancer and is one of the standard first line treatment options in these two malignancies. The main side effects of this regimen has been myelosuppression with febrile neutropenia seen in 5.4 % and gr III, IV fatigue in 24% and diarrhea in 12%</w:t>
      </w:r>
    </w:p>
    <w:p w:rsidR="00CE0618" w:rsidRPr="003D2BB8" w:rsidRDefault="00CE0618" w:rsidP="00CE0618">
      <w:pPr>
        <w:rPr>
          <w:color w:val="000000"/>
          <w:sz w:val="24"/>
          <w:szCs w:val="24"/>
          <w:lang w:val="en"/>
        </w:rPr>
      </w:pPr>
      <w:r w:rsidRPr="003D2BB8">
        <w:rPr>
          <w:color w:val="000000"/>
          <w:sz w:val="24"/>
          <w:szCs w:val="24"/>
          <w:lang w:val="en"/>
        </w:rPr>
        <w:t>Neoadjuvant FOLFIRINOX in the setting of borderline resectable pancreatic cancer has also shown encouraging results with more patients able to undergo an R0 resection with acceptable toxicity.</w:t>
      </w:r>
    </w:p>
    <w:p w:rsidR="00CE0618" w:rsidRPr="003D2BB8" w:rsidRDefault="00CE0618" w:rsidP="00CE0618">
      <w:pPr>
        <w:rPr>
          <w:color w:val="000000"/>
          <w:sz w:val="24"/>
          <w:szCs w:val="24"/>
          <w:lang w:val="en"/>
        </w:rPr>
      </w:pPr>
      <w:r w:rsidRPr="003D2BB8">
        <w:rPr>
          <w:color w:val="000000"/>
          <w:sz w:val="24"/>
          <w:szCs w:val="24"/>
          <w:lang w:val="en"/>
        </w:rPr>
        <w:t xml:space="preserve">Recently a pooled analysis from two independent ongoing clinical trials from University of Chicago and Washington showed efficacy of FOLFIRINOX in first line metastatic setting of gastric cancer. ORR was 62.5% and </w:t>
      </w:r>
      <w:proofErr w:type="spellStart"/>
      <w:r w:rsidRPr="003D2BB8">
        <w:rPr>
          <w:color w:val="000000"/>
          <w:sz w:val="24"/>
          <w:szCs w:val="24"/>
          <w:lang w:val="en"/>
        </w:rPr>
        <w:t>mPFS</w:t>
      </w:r>
      <w:proofErr w:type="spellEnd"/>
      <w:r w:rsidRPr="003D2BB8">
        <w:rPr>
          <w:color w:val="000000"/>
          <w:sz w:val="24"/>
          <w:szCs w:val="24"/>
          <w:lang w:val="en"/>
        </w:rPr>
        <w:t xml:space="preserve"> was 8 months which are promising. The doses used in this study were standard and will be used in the current study. </w:t>
      </w:r>
    </w:p>
    <w:p w:rsidR="00CE0618" w:rsidRPr="003D2BB8" w:rsidRDefault="00CE0618" w:rsidP="00CE0618">
      <w:pPr>
        <w:rPr>
          <w:sz w:val="24"/>
          <w:szCs w:val="24"/>
        </w:rPr>
      </w:pPr>
      <w:r w:rsidRPr="003D2BB8">
        <w:rPr>
          <w:sz w:val="24"/>
          <w:szCs w:val="24"/>
        </w:rPr>
        <w:t xml:space="preserve">This trial will assess whether </w:t>
      </w:r>
      <w:proofErr w:type="spellStart"/>
      <w:r w:rsidRPr="003D2BB8">
        <w:rPr>
          <w:sz w:val="24"/>
          <w:szCs w:val="24"/>
        </w:rPr>
        <w:t>Folfirinox</w:t>
      </w:r>
      <w:proofErr w:type="spellEnd"/>
      <w:r w:rsidRPr="003D2BB8">
        <w:rPr>
          <w:sz w:val="24"/>
          <w:szCs w:val="24"/>
        </w:rPr>
        <w:t xml:space="preserve"> can be used as neoadjuvant chemotherapy for gastric cancer. </w:t>
      </w:r>
    </w:p>
    <w:p w:rsidR="00CE0618" w:rsidRPr="003D2BB8" w:rsidRDefault="00CE0618" w:rsidP="00CE0618">
      <w:pPr>
        <w:rPr>
          <w:rFonts w:eastAsia="OTNEJMQuadraat"/>
          <w:sz w:val="24"/>
          <w:szCs w:val="24"/>
          <w:lang w:eastAsia="en-AU"/>
        </w:rPr>
      </w:pPr>
    </w:p>
    <w:p w:rsidR="00CE0618" w:rsidRPr="003D2BB8" w:rsidRDefault="00CE0618" w:rsidP="00CE0618">
      <w:pPr>
        <w:rPr>
          <w:b/>
          <w:sz w:val="24"/>
          <w:szCs w:val="24"/>
          <w:lang w:val="en"/>
        </w:rPr>
      </w:pPr>
      <w:r w:rsidRPr="003D2BB8">
        <w:rPr>
          <w:b/>
          <w:sz w:val="24"/>
          <w:szCs w:val="24"/>
          <w:lang w:val="en"/>
        </w:rPr>
        <w:lastRenderedPageBreak/>
        <w:t>Aim</w:t>
      </w:r>
    </w:p>
    <w:p w:rsidR="00CE0618" w:rsidRPr="003D2BB8" w:rsidRDefault="00CE0618" w:rsidP="00CE0618">
      <w:pPr>
        <w:rPr>
          <w:sz w:val="24"/>
          <w:szCs w:val="24"/>
        </w:rPr>
      </w:pPr>
      <w:r w:rsidRPr="003D2BB8">
        <w:rPr>
          <w:sz w:val="24"/>
          <w:szCs w:val="24"/>
        </w:rPr>
        <w:t xml:space="preserve">To assess feasibility and efficacy of </w:t>
      </w:r>
      <w:proofErr w:type="spellStart"/>
      <w:r w:rsidRPr="003D2BB8">
        <w:rPr>
          <w:sz w:val="24"/>
          <w:szCs w:val="24"/>
        </w:rPr>
        <w:t>Folfirinox</w:t>
      </w:r>
      <w:proofErr w:type="spellEnd"/>
      <w:r w:rsidRPr="003D2BB8">
        <w:rPr>
          <w:sz w:val="24"/>
          <w:szCs w:val="24"/>
        </w:rPr>
        <w:t xml:space="preserve"> as Neoadjuvant Chemotherapy for patients undergoing curative resection for Gastric or Gastroesophageal junction adenocarcinoma</w:t>
      </w:r>
    </w:p>
    <w:p w:rsidR="00CE0618" w:rsidRPr="003D2BB8" w:rsidRDefault="00CE0618" w:rsidP="00CE0618">
      <w:pPr>
        <w:rPr>
          <w:b/>
          <w:color w:val="000000"/>
          <w:sz w:val="24"/>
          <w:szCs w:val="24"/>
          <w:lang w:val="en"/>
        </w:rPr>
      </w:pPr>
      <w:r w:rsidRPr="003D2BB8">
        <w:rPr>
          <w:b/>
          <w:color w:val="000000"/>
          <w:sz w:val="24"/>
          <w:szCs w:val="24"/>
          <w:lang w:val="en"/>
        </w:rPr>
        <w:t>Objective</w:t>
      </w:r>
    </w:p>
    <w:p w:rsidR="00CE0618" w:rsidRPr="003D2BB8" w:rsidRDefault="00CE0618" w:rsidP="00CE0618">
      <w:pPr>
        <w:rPr>
          <w:color w:val="000000"/>
          <w:sz w:val="24"/>
          <w:szCs w:val="24"/>
          <w:lang w:val="en"/>
        </w:rPr>
      </w:pPr>
      <w:r w:rsidRPr="003D2BB8">
        <w:rPr>
          <w:rFonts w:eastAsia="OTNEJMQuadraat"/>
          <w:sz w:val="24"/>
          <w:szCs w:val="24"/>
          <w:lang w:eastAsia="en-AU"/>
        </w:rPr>
        <w:t xml:space="preserve">The present trial is designed to determine whether a regimen of </w:t>
      </w:r>
      <w:proofErr w:type="spellStart"/>
      <w:r w:rsidRPr="003D2BB8">
        <w:rPr>
          <w:rFonts w:eastAsia="OTNEJMQuadraat"/>
          <w:sz w:val="24"/>
          <w:szCs w:val="24"/>
          <w:lang w:eastAsia="en-AU"/>
        </w:rPr>
        <w:t>Folfirinox</w:t>
      </w:r>
      <w:proofErr w:type="spellEnd"/>
      <w:r w:rsidRPr="003D2BB8">
        <w:rPr>
          <w:rFonts w:eastAsia="OTNEJMQuadraat"/>
          <w:sz w:val="24"/>
          <w:szCs w:val="24"/>
          <w:lang w:eastAsia="en-AU"/>
        </w:rPr>
        <w:t xml:space="preserve"> given before radical surgery improves the outcomes of operable gastric or GEJ adenocarcinoma as compared to current standard ECF chemotherapy  </w:t>
      </w:r>
    </w:p>
    <w:p w:rsidR="00CE0618" w:rsidRPr="003D2BB8" w:rsidRDefault="00CE0618" w:rsidP="00CE0618">
      <w:pPr>
        <w:rPr>
          <w:rFonts w:eastAsia="OTNEJMQuadraat"/>
          <w:sz w:val="24"/>
          <w:szCs w:val="24"/>
          <w:lang w:eastAsia="en-AU"/>
        </w:rPr>
      </w:pPr>
      <w:r w:rsidRPr="003D2BB8">
        <w:rPr>
          <w:rFonts w:eastAsia="OTNEJMQuadraat"/>
          <w:sz w:val="24"/>
          <w:szCs w:val="24"/>
          <w:lang w:eastAsia="en-AU"/>
        </w:rPr>
        <w:t xml:space="preserve">The primary end point </w:t>
      </w:r>
    </w:p>
    <w:p w:rsidR="00CE0618" w:rsidRPr="003D2BB8" w:rsidRDefault="00CE0618" w:rsidP="00CE0618">
      <w:pPr>
        <w:rPr>
          <w:rFonts w:eastAsia="MS Mincho"/>
          <w:sz w:val="24"/>
          <w:szCs w:val="24"/>
        </w:rPr>
      </w:pPr>
      <w:r w:rsidRPr="003D2BB8">
        <w:rPr>
          <w:rFonts w:eastAsia="OTNEJMQuadraat"/>
          <w:sz w:val="24"/>
          <w:szCs w:val="24"/>
          <w:lang w:eastAsia="en-AU"/>
        </w:rPr>
        <w:t xml:space="preserve">1. </w:t>
      </w:r>
      <w:r w:rsidRPr="003D2BB8">
        <w:rPr>
          <w:rFonts w:eastAsia="MS Mincho"/>
          <w:sz w:val="24"/>
          <w:szCs w:val="24"/>
        </w:rPr>
        <w:t xml:space="preserve">Progression-free survival (PFS). Progression-free survival (PFS) is the time from the date of randomization to the date of event defined as the first documented progression or death due to any cause. If a patient has not had an event, PFS is censored at the date of last adequate </w:t>
      </w:r>
      <w:proofErr w:type="spellStart"/>
      <w:r w:rsidRPr="003D2BB8">
        <w:rPr>
          <w:rFonts w:eastAsia="MS Mincho"/>
          <w:sz w:val="24"/>
          <w:szCs w:val="24"/>
        </w:rPr>
        <w:t>tumor</w:t>
      </w:r>
      <w:proofErr w:type="spellEnd"/>
      <w:r w:rsidRPr="003D2BB8">
        <w:rPr>
          <w:rFonts w:eastAsia="MS Mincho"/>
          <w:sz w:val="24"/>
          <w:szCs w:val="24"/>
        </w:rPr>
        <w:t xml:space="preserve"> assessment.</w:t>
      </w:r>
    </w:p>
    <w:p w:rsidR="00CE0618" w:rsidRPr="003D2BB8" w:rsidRDefault="00CE0618" w:rsidP="00CE0618">
      <w:pPr>
        <w:rPr>
          <w:rFonts w:eastAsia="OTNEJMQuadraat"/>
          <w:sz w:val="24"/>
          <w:szCs w:val="24"/>
          <w:lang w:eastAsia="en-AU"/>
        </w:rPr>
      </w:pPr>
      <w:r w:rsidRPr="003D2BB8">
        <w:rPr>
          <w:rFonts w:eastAsia="OTNEJMQuadraat"/>
          <w:sz w:val="24"/>
          <w:szCs w:val="24"/>
          <w:lang w:eastAsia="en-AU"/>
        </w:rPr>
        <w:t xml:space="preserve">Secondary end points </w:t>
      </w:r>
    </w:p>
    <w:p w:rsidR="00CE0618" w:rsidRPr="003D2BB8" w:rsidRDefault="00CE0618" w:rsidP="00CE0618">
      <w:pPr>
        <w:rPr>
          <w:rFonts w:eastAsia="OTNEJMQuadraat"/>
          <w:sz w:val="24"/>
          <w:szCs w:val="24"/>
          <w:lang w:eastAsia="en-AU"/>
        </w:rPr>
      </w:pPr>
      <w:r w:rsidRPr="003D2BB8">
        <w:rPr>
          <w:rFonts w:eastAsia="OTNEJMQuadraat"/>
          <w:sz w:val="24"/>
          <w:szCs w:val="24"/>
          <w:lang w:eastAsia="en-AU"/>
        </w:rPr>
        <w:t xml:space="preserve">1. Ability of patients to proceed to curative gastric resection. The first 10 patients treated will form part of the pilot phase. Ability of 6 patients to undergo curative gastric resection within 18 weeks of starting FOLFIRINOX will allow the opening of the randomised phase II portion. </w:t>
      </w:r>
    </w:p>
    <w:p w:rsidR="00CE0618" w:rsidRPr="003D2BB8" w:rsidRDefault="00CE0618" w:rsidP="00CE0618">
      <w:pPr>
        <w:rPr>
          <w:rFonts w:eastAsia="OTNEJMQuadraat"/>
          <w:sz w:val="24"/>
          <w:szCs w:val="24"/>
          <w:lang w:eastAsia="en-AU"/>
        </w:rPr>
      </w:pPr>
      <w:r w:rsidRPr="003D2BB8">
        <w:rPr>
          <w:rFonts w:eastAsia="OTNEJMQuadraat"/>
          <w:sz w:val="24"/>
          <w:szCs w:val="24"/>
          <w:lang w:eastAsia="en-AU"/>
        </w:rPr>
        <w:t xml:space="preserve">2. Feasibility of this regimen by assessing toxicities and side effects. Adverse drug reactions and serious adverse drug reactions will be assessed by CTCAE Version 4.0, changes in </w:t>
      </w:r>
      <w:proofErr w:type="spellStart"/>
      <w:r w:rsidRPr="003D2BB8">
        <w:rPr>
          <w:rFonts w:eastAsia="OTNEJMQuadraat"/>
          <w:sz w:val="24"/>
          <w:szCs w:val="24"/>
          <w:lang w:eastAsia="en-AU"/>
        </w:rPr>
        <w:t>hematology</w:t>
      </w:r>
      <w:proofErr w:type="spellEnd"/>
      <w:r w:rsidRPr="003D2BB8">
        <w:rPr>
          <w:rFonts w:eastAsia="OTNEJMQuadraat"/>
          <w:sz w:val="24"/>
          <w:szCs w:val="24"/>
          <w:lang w:eastAsia="en-AU"/>
        </w:rPr>
        <w:t xml:space="preserve"> and chemistry values, specifically those associated with hepatic and renal function; and assessment of physical examinations, vital signs and electrocardiograms</w:t>
      </w:r>
    </w:p>
    <w:p w:rsidR="00CE0618" w:rsidRPr="003D2BB8" w:rsidRDefault="00CE0618" w:rsidP="00CE0618">
      <w:pPr>
        <w:rPr>
          <w:color w:val="000000"/>
          <w:sz w:val="24"/>
          <w:szCs w:val="24"/>
          <w:lang w:val="en"/>
        </w:rPr>
      </w:pPr>
      <w:r w:rsidRPr="003D2BB8">
        <w:rPr>
          <w:rFonts w:eastAsia="OTNEJMQuadraat"/>
          <w:sz w:val="24"/>
          <w:szCs w:val="24"/>
          <w:lang w:eastAsia="en-AU"/>
        </w:rPr>
        <w:t xml:space="preserve">2. </w:t>
      </w:r>
      <w:bookmarkStart w:id="1" w:name="_Toc231196165"/>
      <w:bookmarkStart w:id="2" w:name="_Toc231274887"/>
      <w:bookmarkStart w:id="3" w:name="_Toc231274998"/>
      <w:bookmarkStart w:id="4" w:name="_Toc231275120"/>
      <w:bookmarkStart w:id="5" w:name="_Toc234995137"/>
      <w:bookmarkStart w:id="6" w:name="_Toc235007565"/>
      <w:r w:rsidRPr="003D2BB8">
        <w:rPr>
          <w:rFonts w:eastAsia="OTNEJMQuadraat"/>
          <w:sz w:val="24"/>
          <w:szCs w:val="24"/>
          <w:lang w:eastAsia="en-AU"/>
        </w:rPr>
        <w:t xml:space="preserve">Pathological complete response including surgical assessments of down-staging (i.e., </w:t>
      </w:r>
      <w:proofErr w:type="spellStart"/>
      <w:r w:rsidRPr="003D2BB8">
        <w:rPr>
          <w:rFonts w:eastAsia="OTNEJMQuadraat"/>
          <w:sz w:val="24"/>
          <w:szCs w:val="24"/>
          <w:lang w:eastAsia="en-AU"/>
        </w:rPr>
        <w:t>tumor</w:t>
      </w:r>
      <w:proofErr w:type="spellEnd"/>
      <w:r w:rsidRPr="003D2BB8">
        <w:rPr>
          <w:rFonts w:eastAsia="OTNEJMQuadraat"/>
          <w:sz w:val="24"/>
          <w:szCs w:val="24"/>
          <w:lang w:eastAsia="en-AU"/>
        </w:rPr>
        <w:t xml:space="preserve"> diameter, </w:t>
      </w:r>
      <w:proofErr w:type="spellStart"/>
      <w:r w:rsidRPr="003D2BB8">
        <w:rPr>
          <w:rFonts w:eastAsia="OTNEJMQuadraat"/>
          <w:sz w:val="24"/>
          <w:szCs w:val="24"/>
          <w:lang w:eastAsia="en-AU"/>
        </w:rPr>
        <w:t>tumor</w:t>
      </w:r>
      <w:proofErr w:type="spellEnd"/>
      <w:r w:rsidRPr="003D2BB8">
        <w:rPr>
          <w:rFonts w:eastAsia="OTNEJMQuadraat"/>
          <w:sz w:val="24"/>
          <w:szCs w:val="24"/>
          <w:lang w:eastAsia="en-AU"/>
        </w:rPr>
        <w:t xml:space="preserve"> stage, and nodal status). </w:t>
      </w:r>
      <w:bookmarkEnd w:id="1"/>
      <w:bookmarkEnd w:id="2"/>
      <w:bookmarkEnd w:id="3"/>
      <w:bookmarkEnd w:id="4"/>
      <w:bookmarkEnd w:id="5"/>
      <w:bookmarkEnd w:id="6"/>
    </w:p>
    <w:p w:rsidR="00CE0618" w:rsidRPr="003D2BB8" w:rsidRDefault="00CE0618" w:rsidP="00CE0618">
      <w:pPr>
        <w:rPr>
          <w:rFonts w:eastAsia="MS Mincho"/>
          <w:sz w:val="24"/>
          <w:szCs w:val="24"/>
        </w:rPr>
      </w:pPr>
      <w:r w:rsidRPr="003D2BB8">
        <w:rPr>
          <w:rFonts w:eastAsia="MS Mincho"/>
          <w:sz w:val="24"/>
          <w:szCs w:val="24"/>
        </w:rPr>
        <w:t xml:space="preserve">3. Overall survival (OS). This is defined as the time from histological diagnosis to date of death. </w:t>
      </w:r>
    </w:p>
    <w:p w:rsidR="00CE0618" w:rsidRPr="003D2BB8" w:rsidRDefault="00CE0618" w:rsidP="00CE0618">
      <w:pPr>
        <w:rPr>
          <w:b/>
          <w:color w:val="000000"/>
          <w:sz w:val="24"/>
          <w:szCs w:val="24"/>
          <w:lang w:val="en"/>
        </w:rPr>
      </w:pPr>
      <w:r w:rsidRPr="003D2BB8">
        <w:rPr>
          <w:b/>
          <w:color w:val="000000"/>
          <w:sz w:val="24"/>
          <w:szCs w:val="24"/>
          <w:lang w:val="en"/>
        </w:rPr>
        <w:t>Eligibility</w:t>
      </w:r>
    </w:p>
    <w:p w:rsidR="00CE0618" w:rsidRPr="003D2BB8" w:rsidRDefault="00CE0618" w:rsidP="00CE0618">
      <w:pPr>
        <w:rPr>
          <w:color w:val="000000"/>
          <w:sz w:val="24"/>
          <w:szCs w:val="24"/>
          <w:lang w:val="en"/>
        </w:rPr>
      </w:pPr>
      <w:r w:rsidRPr="003D2BB8">
        <w:rPr>
          <w:color w:val="000000"/>
          <w:sz w:val="24"/>
          <w:szCs w:val="24"/>
          <w:lang w:val="en"/>
        </w:rPr>
        <w:t xml:space="preserve">1. Patients &gt;18 years age </w:t>
      </w:r>
    </w:p>
    <w:p w:rsidR="00CE0618" w:rsidRPr="003D2BB8" w:rsidRDefault="00CE0618" w:rsidP="00CE0618">
      <w:pPr>
        <w:rPr>
          <w:sz w:val="24"/>
          <w:szCs w:val="24"/>
        </w:rPr>
      </w:pPr>
      <w:r w:rsidRPr="003D2BB8">
        <w:rPr>
          <w:color w:val="000000"/>
          <w:sz w:val="24"/>
          <w:szCs w:val="24"/>
          <w:lang w:val="en"/>
        </w:rPr>
        <w:t xml:space="preserve">2. </w:t>
      </w:r>
      <w:r w:rsidRPr="003D2BB8">
        <w:rPr>
          <w:sz w:val="24"/>
          <w:szCs w:val="24"/>
        </w:rPr>
        <w:t>Patients with cytological or histological confirmed gastric adenocarcinoma or gastroesophageal junction adenocarcinoma</w:t>
      </w:r>
    </w:p>
    <w:p w:rsidR="00CE0618" w:rsidRPr="003D2BB8" w:rsidRDefault="00CE0618" w:rsidP="00CE0618">
      <w:pPr>
        <w:rPr>
          <w:sz w:val="24"/>
          <w:szCs w:val="24"/>
        </w:rPr>
      </w:pPr>
      <w:r w:rsidRPr="003D2BB8">
        <w:rPr>
          <w:sz w:val="24"/>
          <w:szCs w:val="24"/>
        </w:rPr>
        <w:t>3. Able to sign Informed Consent</w:t>
      </w:r>
    </w:p>
    <w:p w:rsidR="00CE0618" w:rsidRPr="003D2BB8" w:rsidRDefault="00CE0618" w:rsidP="00CE0618">
      <w:pPr>
        <w:rPr>
          <w:sz w:val="24"/>
          <w:szCs w:val="24"/>
        </w:rPr>
      </w:pPr>
      <w:r w:rsidRPr="003D2BB8">
        <w:rPr>
          <w:sz w:val="24"/>
          <w:szCs w:val="24"/>
        </w:rPr>
        <w:t xml:space="preserve">4. World Health Organization (WHO) Performance Status of </w:t>
      </w:r>
      <w:r w:rsidRPr="003D2BB8">
        <w:rPr>
          <w:sz w:val="24"/>
          <w:szCs w:val="24"/>
          <w:u w:val="single"/>
        </w:rPr>
        <w:t>&lt;</w:t>
      </w:r>
      <w:r w:rsidRPr="003D2BB8">
        <w:rPr>
          <w:sz w:val="24"/>
          <w:szCs w:val="24"/>
        </w:rPr>
        <w:t xml:space="preserve"> 1</w:t>
      </w:r>
    </w:p>
    <w:p w:rsidR="00CE0618" w:rsidRPr="003D2BB8" w:rsidRDefault="00CE0618" w:rsidP="00CE0618">
      <w:pPr>
        <w:rPr>
          <w:rFonts w:eastAsia="Times New Roman"/>
          <w:color w:val="000000"/>
          <w:sz w:val="24"/>
          <w:szCs w:val="24"/>
        </w:rPr>
      </w:pPr>
      <w:r w:rsidRPr="003D2BB8">
        <w:rPr>
          <w:sz w:val="24"/>
          <w:szCs w:val="24"/>
        </w:rPr>
        <w:lastRenderedPageBreak/>
        <w:t xml:space="preserve">5. Localised gastric cancer or gastroesophageal junction adenocarcinoma considered for curative radical gastrectomy. Eligible patients will have </w:t>
      </w:r>
      <w:r w:rsidRPr="003D2BB8">
        <w:rPr>
          <w:sz w:val="24"/>
          <w:szCs w:val="24"/>
        </w:rPr>
        <w:sym w:font="Symbol" w:char="F0B3"/>
      </w:r>
      <w:r w:rsidRPr="003D2BB8">
        <w:rPr>
          <w:sz w:val="24"/>
          <w:szCs w:val="24"/>
        </w:rPr>
        <w:t xml:space="preserve"> </w:t>
      </w:r>
      <w:r w:rsidRPr="003D2BB8">
        <w:rPr>
          <w:rFonts w:eastAsia="Times New Roman"/>
          <w:color w:val="000000"/>
          <w:sz w:val="24"/>
          <w:szCs w:val="24"/>
        </w:rPr>
        <w:t xml:space="preserve">T2 gastric cancer and/ or </w:t>
      </w:r>
      <w:proofErr w:type="spellStart"/>
      <w:r w:rsidRPr="003D2BB8">
        <w:rPr>
          <w:rFonts w:eastAsia="Times New Roman"/>
          <w:color w:val="000000"/>
          <w:sz w:val="24"/>
          <w:szCs w:val="24"/>
        </w:rPr>
        <w:t>Siewert</w:t>
      </w:r>
      <w:proofErr w:type="spellEnd"/>
      <w:r w:rsidRPr="003D2BB8">
        <w:rPr>
          <w:rFonts w:eastAsia="Times New Roman"/>
          <w:color w:val="000000"/>
          <w:sz w:val="24"/>
          <w:szCs w:val="24"/>
        </w:rPr>
        <w:t xml:space="preserve"> III GOJ cancer (cancer of the cardia) </w:t>
      </w:r>
    </w:p>
    <w:p w:rsidR="00CE0618" w:rsidRPr="003D2BB8" w:rsidRDefault="00CE0618" w:rsidP="00CE0618">
      <w:pPr>
        <w:rPr>
          <w:sz w:val="24"/>
          <w:szCs w:val="24"/>
        </w:rPr>
      </w:pPr>
      <w:r w:rsidRPr="003D2BB8">
        <w:rPr>
          <w:rFonts w:eastAsia="Times New Roman"/>
          <w:color w:val="000000"/>
          <w:sz w:val="24"/>
          <w:szCs w:val="24"/>
        </w:rPr>
        <w:t xml:space="preserve">6. </w:t>
      </w:r>
      <w:r w:rsidRPr="003D2BB8">
        <w:rPr>
          <w:sz w:val="24"/>
          <w:szCs w:val="24"/>
        </w:rPr>
        <w:t>Patients must have the following laboratory values:</w:t>
      </w:r>
    </w:p>
    <w:p w:rsidR="00CE0618" w:rsidRPr="003D2BB8" w:rsidRDefault="00CE0618" w:rsidP="00CE0618">
      <w:pPr>
        <w:rPr>
          <w:sz w:val="24"/>
          <w:szCs w:val="24"/>
        </w:rPr>
      </w:pPr>
      <w:r w:rsidRPr="003D2BB8">
        <w:rPr>
          <w:sz w:val="24"/>
          <w:szCs w:val="24"/>
        </w:rPr>
        <w:t>Hematologic:</w:t>
      </w:r>
    </w:p>
    <w:p w:rsidR="00CE0618" w:rsidRPr="003D2BB8" w:rsidRDefault="00CE0618" w:rsidP="00CE0618">
      <w:pPr>
        <w:pStyle w:val="Listlevel1"/>
        <w:numPr>
          <w:ilvl w:val="0"/>
          <w:numId w:val="1"/>
        </w:numPr>
        <w:rPr>
          <w:rFonts w:ascii="Calibri" w:hAnsi="Calibri"/>
          <w:szCs w:val="24"/>
        </w:rPr>
      </w:pPr>
      <w:r w:rsidRPr="003D2BB8">
        <w:rPr>
          <w:rFonts w:ascii="Calibri" w:hAnsi="Calibri"/>
          <w:szCs w:val="24"/>
        </w:rPr>
        <w:t xml:space="preserve">Absolute Neutrophil Count (ANC) </w:t>
      </w:r>
      <w:r w:rsidRPr="003D2BB8">
        <w:rPr>
          <w:rFonts w:ascii="Calibri" w:hAnsi="Calibri"/>
          <w:szCs w:val="24"/>
        </w:rPr>
        <w:sym w:font="Symbol" w:char="F0B3"/>
      </w:r>
      <w:r w:rsidRPr="003D2BB8">
        <w:rPr>
          <w:rFonts w:ascii="Calibri" w:hAnsi="Calibri"/>
          <w:szCs w:val="24"/>
        </w:rPr>
        <w:t>1.5x10</w:t>
      </w:r>
      <w:r w:rsidRPr="003D2BB8">
        <w:rPr>
          <w:rFonts w:ascii="Calibri" w:hAnsi="Calibri"/>
          <w:szCs w:val="24"/>
          <w:vertAlign w:val="superscript"/>
        </w:rPr>
        <w:t>9</w:t>
      </w:r>
      <w:r w:rsidRPr="003D2BB8">
        <w:rPr>
          <w:rFonts w:ascii="Calibri" w:hAnsi="Calibri"/>
          <w:szCs w:val="24"/>
        </w:rPr>
        <w:t>/L</w:t>
      </w:r>
    </w:p>
    <w:p w:rsidR="00CE0618" w:rsidRPr="003D2BB8" w:rsidRDefault="00CE0618" w:rsidP="00CE0618">
      <w:pPr>
        <w:pStyle w:val="Listlevel1"/>
        <w:numPr>
          <w:ilvl w:val="0"/>
          <w:numId w:val="1"/>
        </w:numPr>
        <w:rPr>
          <w:rFonts w:ascii="Calibri" w:hAnsi="Calibri"/>
          <w:szCs w:val="24"/>
        </w:rPr>
      </w:pPr>
      <w:r w:rsidRPr="003D2BB8">
        <w:rPr>
          <w:rFonts w:ascii="Calibri" w:hAnsi="Calibri"/>
          <w:szCs w:val="24"/>
        </w:rPr>
        <w:t>Hemoglobin (</w:t>
      </w:r>
      <w:proofErr w:type="spellStart"/>
      <w:r w:rsidRPr="003D2BB8">
        <w:rPr>
          <w:rFonts w:ascii="Calibri" w:hAnsi="Calibri"/>
          <w:szCs w:val="24"/>
        </w:rPr>
        <w:t>Hgb</w:t>
      </w:r>
      <w:proofErr w:type="spellEnd"/>
      <w:r w:rsidRPr="003D2BB8">
        <w:rPr>
          <w:rFonts w:ascii="Calibri" w:hAnsi="Calibri"/>
          <w:szCs w:val="24"/>
        </w:rPr>
        <w:t xml:space="preserve">) </w:t>
      </w:r>
      <w:r w:rsidRPr="003D2BB8">
        <w:rPr>
          <w:rFonts w:ascii="Calibri" w:hAnsi="Calibri"/>
          <w:szCs w:val="24"/>
        </w:rPr>
        <w:sym w:font="Symbol" w:char="F0B3"/>
      </w:r>
      <w:r w:rsidRPr="003D2BB8">
        <w:rPr>
          <w:rFonts w:ascii="Calibri" w:hAnsi="Calibri"/>
          <w:szCs w:val="24"/>
        </w:rPr>
        <w:t xml:space="preserve"> 9 g/dl</w:t>
      </w:r>
    </w:p>
    <w:p w:rsidR="00CE0618" w:rsidRPr="003D2BB8" w:rsidRDefault="00CE0618" w:rsidP="00CE0618">
      <w:pPr>
        <w:pStyle w:val="Listlevel1"/>
        <w:numPr>
          <w:ilvl w:val="0"/>
          <w:numId w:val="1"/>
        </w:numPr>
        <w:rPr>
          <w:rFonts w:ascii="Calibri" w:hAnsi="Calibri"/>
          <w:szCs w:val="24"/>
        </w:rPr>
      </w:pPr>
      <w:r w:rsidRPr="003D2BB8">
        <w:rPr>
          <w:rFonts w:ascii="Calibri" w:hAnsi="Calibri"/>
          <w:szCs w:val="24"/>
        </w:rPr>
        <w:t>Platelets (</w:t>
      </w:r>
      <w:proofErr w:type="spellStart"/>
      <w:r w:rsidRPr="003D2BB8">
        <w:rPr>
          <w:rFonts w:ascii="Calibri" w:hAnsi="Calibri"/>
          <w:szCs w:val="24"/>
        </w:rPr>
        <w:t>plt</w:t>
      </w:r>
      <w:proofErr w:type="spellEnd"/>
      <w:r w:rsidRPr="003D2BB8">
        <w:rPr>
          <w:rFonts w:ascii="Calibri" w:hAnsi="Calibri"/>
          <w:szCs w:val="24"/>
        </w:rPr>
        <w:t xml:space="preserve">) </w:t>
      </w:r>
      <w:r w:rsidRPr="003D2BB8">
        <w:rPr>
          <w:rFonts w:ascii="Calibri" w:hAnsi="Calibri"/>
          <w:szCs w:val="24"/>
        </w:rPr>
        <w:sym w:font="Symbol" w:char="F0B3"/>
      </w:r>
      <w:r w:rsidRPr="003D2BB8">
        <w:rPr>
          <w:rFonts w:ascii="Calibri" w:hAnsi="Calibri"/>
          <w:szCs w:val="24"/>
        </w:rPr>
        <w:t>100x10</w:t>
      </w:r>
      <w:r w:rsidRPr="003D2BB8">
        <w:rPr>
          <w:rFonts w:ascii="Calibri" w:hAnsi="Calibri"/>
          <w:szCs w:val="24"/>
          <w:vertAlign w:val="superscript"/>
        </w:rPr>
        <w:t>9</w:t>
      </w:r>
      <w:r w:rsidRPr="003D2BB8">
        <w:rPr>
          <w:rFonts w:ascii="Calibri" w:hAnsi="Calibri"/>
          <w:szCs w:val="24"/>
        </w:rPr>
        <w:t>/L</w:t>
      </w:r>
    </w:p>
    <w:p w:rsidR="00CE0618" w:rsidRPr="003D2BB8" w:rsidRDefault="00CE0618" w:rsidP="00CE0618">
      <w:pPr>
        <w:pStyle w:val="Listlevel1"/>
        <w:ind w:left="357" w:firstLine="0"/>
        <w:rPr>
          <w:rFonts w:ascii="Calibri" w:hAnsi="Calibri"/>
          <w:szCs w:val="24"/>
        </w:rPr>
      </w:pPr>
    </w:p>
    <w:p w:rsidR="00CE0618" w:rsidRPr="003D2BB8" w:rsidRDefault="00CE0618" w:rsidP="00CE0618">
      <w:pPr>
        <w:pStyle w:val="Listlevel1"/>
        <w:ind w:left="0" w:firstLine="0"/>
        <w:rPr>
          <w:rFonts w:ascii="Calibri" w:hAnsi="Calibri"/>
          <w:szCs w:val="24"/>
        </w:rPr>
      </w:pPr>
      <w:r w:rsidRPr="003D2BB8">
        <w:rPr>
          <w:rFonts w:ascii="Calibri" w:hAnsi="Calibri"/>
          <w:szCs w:val="24"/>
        </w:rPr>
        <w:t xml:space="preserve">Biochemistry: </w:t>
      </w:r>
    </w:p>
    <w:p w:rsidR="00CE0618" w:rsidRPr="003D2BB8" w:rsidRDefault="00CE0618" w:rsidP="00CE0618">
      <w:pPr>
        <w:pStyle w:val="Listlevel1"/>
        <w:numPr>
          <w:ilvl w:val="0"/>
          <w:numId w:val="2"/>
        </w:numPr>
        <w:rPr>
          <w:rFonts w:ascii="Calibri" w:hAnsi="Calibri"/>
          <w:szCs w:val="24"/>
        </w:rPr>
      </w:pPr>
      <w:r w:rsidRPr="003D2BB8">
        <w:rPr>
          <w:rFonts w:ascii="Calibri" w:hAnsi="Calibri"/>
          <w:szCs w:val="24"/>
        </w:rPr>
        <w:t>Potassium within normal limits</w:t>
      </w:r>
    </w:p>
    <w:p w:rsidR="00CE0618" w:rsidRPr="003D2BB8" w:rsidRDefault="00CE0618" w:rsidP="00CE0618">
      <w:pPr>
        <w:pStyle w:val="Listlevel1"/>
        <w:numPr>
          <w:ilvl w:val="0"/>
          <w:numId w:val="2"/>
        </w:numPr>
        <w:rPr>
          <w:rFonts w:ascii="Calibri" w:hAnsi="Calibri"/>
          <w:szCs w:val="24"/>
        </w:rPr>
      </w:pPr>
      <w:r w:rsidRPr="003D2BB8">
        <w:rPr>
          <w:rFonts w:ascii="Calibri" w:hAnsi="Calibri"/>
          <w:szCs w:val="24"/>
        </w:rPr>
        <w:t>Total calcium (corrected for serum albumin) and Phosphorus within normal limits</w:t>
      </w:r>
    </w:p>
    <w:p w:rsidR="00CE0618" w:rsidRPr="003D2BB8" w:rsidRDefault="00CE0618" w:rsidP="00CE0618">
      <w:pPr>
        <w:pStyle w:val="Listlevel1"/>
        <w:numPr>
          <w:ilvl w:val="0"/>
          <w:numId w:val="2"/>
        </w:numPr>
        <w:rPr>
          <w:rFonts w:ascii="Calibri" w:hAnsi="Calibri"/>
          <w:szCs w:val="24"/>
        </w:rPr>
      </w:pPr>
      <w:r w:rsidRPr="003D2BB8">
        <w:rPr>
          <w:rFonts w:ascii="Calibri" w:hAnsi="Calibri"/>
          <w:szCs w:val="24"/>
        </w:rPr>
        <w:t>Adequate liver function defined as:</w:t>
      </w:r>
    </w:p>
    <w:p w:rsidR="00CE0618" w:rsidRPr="003D2BB8" w:rsidRDefault="00CE0618" w:rsidP="00CE0618">
      <w:pPr>
        <w:pStyle w:val="Listlevel2"/>
        <w:numPr>
          <w:ilvl w:val="0"/>
          <w:numId w:val="3"/>
        </w:numPr>
        <w:tabs>
          <w:tab w:val="clear" w:pos="357"/>
          <w:tab w:val="num" w:pos="782"/>
        </w:tabs>
        <w:ind w:left="782"/>
        <w:rPr>
          <w:rFonts w:ascii="Calibri" w:hAnsi="Calibri"/>
          <w:szCs w:val="24"/>
        </w:rPr>
      </w:pPr>
      <w:r w:rsidRPr="003D2BB8">
        <w:rPr>
          <w:rFonts w:ascii="Calibri" w:hAnsi="Calibri"/>
          <w:szCs w:val="24"/>
        </w:rPr>
        <w:t>AST/SGOT and ALT/SGPT ≤ 1.5 x Upper Limit of Normal (ULN) if AP &gt; 2.5 ULN</w:t>
      </w:r>
    </w:p>
    <w:p w:rsidR="00CE0618" w:rsidRDefault="00CE0618" w:rsidP="00CE0618">
      <w:pPr>
        <w:pStyle w:val="Listlevel2"/>
        <w:numPr>
          <w:ilvl w:val="0"/>
          <w:numId w:val="3"/>
        </w:numPr>
        <w:tabs>
          <w:tab w:val="clear" w:pos="357"/>
          <w:tab w:val="num" w:pos="782"/>
        </w:tabs>
        <w:ind w:left="782"/>
        <w:rPr>
          <w:rFonts w:ascii="Calibri" w:hAnsi="Calibri"/>
          <w:szCs w:val="24"/>
        </w:rPr>
      </w:pPr>
      <w:r w:rsidRPr="003D2BB8">
        <w:rPr>
          <w:rFonts w:ascii="Calibri" w:hAnsi="Calibri"/>
          <w:szCs w:val="24"/>
        </w:rPr>
        <w:t xml:space="preserve">Serum bilirubin </w:t>
      </w:r>
      <w:r w:rsidRPr="003D2BB8">
        <w:rPr>
          <w:rFonts w:ascii="Calibri" w:hAnsi="Calibri"/>
          <w:szCs w:val="24"/>
        </w:rPr>
        <w:sym w:font="Symbol" w:char="F0A3"/>
      </w:r>
      <w:r w:rsidRPr="003D2BB8">
        <w:rPr>
          <w:rFonts w:ascii="Calibri" w:hAnsi="Calibri"/>
          <w:szCs w:val="24"/>
        </w:rPr>
        <w:t xml:space="preserve"> 1.5 x ULN</w:t>
      </w:r>
    </w:p>
    <w:p w:rsidR="00CE0618" w:rsidRPr="006403B6" w:rsidRDefault="00CE0618" w:rsidP="00CE0618">
      <w:pPr>
        <w:pStyle w:val="Listlevel2"/>
        <w:numPr>
          <w:ilvl w:val="0"/>
          <w:numId w:val="3"/>
        </w:numPr>
        <w:rPr>
          <w:rFonts w:ascii="Calibri" w:hAnsi="Calibri"/>
          <w:i/>
          <w:color w:val="FF0000"/>
          <w:sz w:val="40"/>
          <w:szCs w:val="40"/>
          <w:u w:val="single"/>
        </w:rPr>
      </w:pPr>
      <w:r w:rsidRPr="006403B6">
        <w:rPr>
          <w:rFonts w:ascii="Calibri" w:hAnsi="Calibri"/>
          <w:color w:val="FF0000"/>
          <w:szCs w:val="24"/>
        </w:rPr>
        <w:t xml:space="preserve">Adequate Kidney function test : Serum creatinine </w:t>
      </w:r>
      <w:r w:rsidRPr="006403B6">
        <w:rPr>
          <w:rFonts w:ascii="Calibri" w:hAnsi="Calibri"/>
          <w:color w:val="FF0000"/>
          <w:szCs w:val="24"/>
        </w:rPr>
        <w:sym w:font="Symbol" w:char="F0A3"/>
      </w:r>
      <w:r w:rsidRPr="006403B6">
        <w:rPr>
          <w:rFonts w:ascii="Calibri" w:hAnsi="Calibri"/>
          <w:color w:val="FF0000"/>
          <w:szCs w:val="24"/>
        </w:rPr>
        <w:t xml:space="preserve"> 1.5 x ULN or  creatinine clearance </w:t>
      </w:r>
      <w:r w:rsidRPr="006403B6">
        <w:rPr>
          <w:rFonts w:ascii="Calibri" w:hAnsi="Calibri"/>
          <w:color w:val="FF0000"/>
          <w:szCs w:val="24"/>
        </w:rPr>
        <w:sym w:font="Symbol" w:char="F0B3"/>
      </w:r>
      <w:r w:rsidRPr="006403B6">
        <w:rPr>
          <w:rFonts w:ascii="Calibri" w:hAnsi="Calibri"/>
          <w:color w:val="FF0000"/>
          <w:szCs w:val="24"/>
        </w:rPr>
        <w:t xml:space="preserve"> 50 ml/min on  standard Cockcroft-Gault Equation</w:t>
      </w:r>
    </w:p>
    <w:p w:rsidR="00CE0618" w:rsidRPr="003D2BB8" w:rsidRDefault="00CE0618" w:rsidP="00CE0618">
      <w:pPr>
        <w:rPr>
          <w:b/>
          <w:color w:val="000000"/>
          <w:sz w:val="24"/>
          <w:szCs w:val="24"/>
          <w:lang w:val="en"/>
        </w:rPr>
      </w:pPr>
    </w:p>
    <w:p w:rsidR="00CE0618" w:rsidRPr="003D2BB8" w:rsidRDefault="00CE0618" w:rsidP="00CE0618">
      <w:pPr>
        <w:rPr>
          <w:b/>
          <w:color w:val="000000"/>
          <w:sz w:val="24"/>
          <w:szCs w:val="24"/>
          <w:lang w:val="en"/>
        </w:rPr>
      </w:pPr>
      <w:r w:rsidRPr="003D2BB8">
        <w:rPr>
          <w:b/>
          <w:color w:val="000000"/>
          <w:sz w:val="24"/>
          <w:szCs w:val="24"/>
          <w:lang w:val="en"/>
        </w:rPr>
        <w:t>Study design and treatment schedule</w:t>
      </w:r>
    </w:p>
    <w:p w:rsidR="00CE0618" w:rsidRPr="003D2BB8" w:rsidRDefault="00CE0618" w:rsidP="00CE0618">
      <w:pPr>
        <w:rPr>
          <w:rFonts w:eastAsia="OTNEJMQuadraat"/>
          <w:sz w:val="24"/>
          <w:szCs w:val="24"/>
          <w:lang w:eastAsia="en-AU"/>
        </w:rPr>
      </w:pPr>
      <w:r w:rsidRPr="003D2BB8">
        <w:rPr>
          <w:rFonts w:eastAsia="OTNEJMQuadraat"/>
          <w:sz w:val="24"/>
          <w:szCs w:val="24"/>
          <w:lang w:eastAsia="en-AU"/>
        </w:rPr>
        <w:t>First 10 patients treated will form the pilot phase of the trial. Once the feasibility of the regimen is confirmed, the phase II randomised portion will be opened where patients will be randomised in 1:1 ratio to standard ECF chemotherapy versus FOLFIRINOX.  The feasibility will be defined as the ability of 6 out of 10 pilot patients to undergo curative gastric resection within 18 weeks of starting FOLFIRINOX</w:t>
      </w:r>
    </w:p>
    <w:p w:rsidR="00CE0618" w:rsidRPr="003D2BB8" w:rsidRDefault="00CE0618" w:rsidP="00CE0618">
      <w:pPr>
        <w:rPr>
          <w:rFonts w:eastAsia="OTNEJMQuadraat"/>
          <w:sz w:val="24"/>
          <w:szCs w:val="24"/>
          <w:lang w:eastAsia="en-AU"/>
        </w:rPr>
      </w:pPr>
      <w:r w:rsidRPr="003D2BB8">
        <w:rPr>
          <w:rFonts w:eastAsia="OTNEJMQuadraat"/>
          <w:sz w:val="24"/>
          <w:szCs w:val="24"/>
          <w:lang w:eastAsia="en-AU"/>
        </w:rPr>
        <w:t xml:space="preserve">Patients will be adequately staged using CT scan chest/ abdomen/ pelvis, Echo, lung functions and laparoscopy to rule out metastatic disease and assess fitness for curative gastric resection. The patients will be discussed at the </w:t>
      </w:r>
      <w:proofErr w:type="spellStart"/>
      <w:r w:rsidRPr="003D2BB8">
        <w:rPr>
          <w:rFonts w:eastAsia="OTNEJMQuadraat"/>
          <w:sz w:val="24"/>
          <w:szCs w:val="24"/>
          <w:lang w:eastAsia="en-AU"/>
        </w:rPr>
        <w:t>Statewide</w:t>
      </w:r>
      <w:proofErr w:type="spellEnd"/>
      <w:r w:rsidRPr="003D2BB8">
        <w:rPr>
          <w:rFonts w:eastAsia="OTNEJMQuadraat"/>
          <w:sz w:val="24"/>
          <w:szCs w:val="24"/>
          <w:lang w:eastAsia="en-AU"/>
        </w:rPr>
        <w:t xml:space="preserve"> Upper GI MDT. </w:t>
      </w:r>
    </w:p>
    <w:p w:rsidR="00CE0618" w:rsidRPr="003D2BB8" w:rsidRDefault="00CE0618" w:rsidP="00CE0618">
      <w:pPr>
        <w:rPr>
          <w:rFonts w:eastAsia="OTNEJMQuadraat"/>
          <w:sz w:val="24"/>
          <w:szCs w:val="24"/>
          <w:lang w:eastAsia="en-AU"/>
        </w:rPr>
      </w:pPr>
      <w:r w:rsidRPr="003D2BB8">
        <w:rPr>
          <w:rFonts w:eastAsia="OTNEJMQuadraat"/>
          <w:sz w:val="24"/>
          <w:szCs w:val="24"/>
          <w:lang w:eastAsia="en-AU"/>
        </w:rPr>
        <w:t xml:space="preserve">Patients will be consented and have PICC or PORT inserted prior to start of treatment. </w:t>
      </w:r>
    </w:p>
    <w:p w:rsidR="00CE0618" w:rsidRPr="003D2BB8" w:rsidRDefault="00CE0618" w:rsidP="00CE0618">
      <w:pPr>
        <w:rPr>
          <w:rFonts w:eastAsia="OTNEJMQuadraat"/>
          <w:sz w:val="24"/>
          <w:szCs w:val="24"/>
          <w:lang w:eastAsia="en-AU"/>
        </w:rPr>
      </w:pPr>
      <w:proofErr w:type="spellStart"/>
      <w:r w:rsidRPr="003D2BB8">
        <w:rPr>
          <w:rFonts w:eastAsia="OTNEJMQuadraat"/>
          <w:sz w:val="24"/>
          <w:szCs w:val="24"/>
          <w:lang w:eastAsia="en-AU"/>
        </w:rPr>
        <w:t>Folfirinox</w:t>
      </w:r>
      <w:proofErr w:type="spellEnd"/>
      <w:r w:rsidRPr="003D2BB8">
        <w:rPr>
          <w:rFonts w:eastAsia="OTNEJMQuadraat"/>
          <w:sz w:val="24"/>
          <w:szCs w:val="24"/>
          <w:lang w:eastAsia="en-AU"/>
        </w:rPr>
        <w:t xml:space="preserve"> Chemotherapy will be administered for six cycles preoperatively (3 months). </w:t>
      </w:r>
    </w:p>
    <w:p w:rsidR="00CE0618" w:rsidRPr="003D2BB8" w:rsidRDefault="00CE0618" w:rsidP="00CE0618">
      <w:pPr>
        <w:rPr>
          <w:rFonts w:eastAsia="OTNEJMQuadraat"/>
          <w:sz w:val="24"/>
          <w:szCs w:val="24"/>
          <w:lang w:eastAsia="en-AU"/>
        </w:rPr>
      </w:pPr>
      <w:r w:rsidRPr="003D2BB8">
        <w:rPr>
          <w:rFonts w:eastAsia="OTNEJMQuadraat"/>
          <w:sz w:val="24"/>
          <w:szCs w:val="24"/>
          <w:lang w:eastAsia="en-AU"/>
        </w:rPr>
        <w:t xml:space="preserve">A typical cycle will consist of </w:t>
      </w:r>
      <w:proofErr w:type="spellStart"/>
      <w:r w:rsidRPr="003D2BB8">
        <w:rPr>
          <w:rFonts w:eastAsia="OTNEJMQuadraat"/>
          <w:sz w:val="24"/>
          <w:szCs w:val="24"/>
          <w:lang w:eastAsia="en-AU"/>
        </w:rPr>
        <w:t>oxaliplatin</w:t>
      </w:r>
      <w:proofErr w:type="spellEnd"/>
      <w:r w:rsidRPr="003D2BB8">
        <w:rPr>
          <w:rFonts w:eastAsia="OTNEJMQuadraat"/>
          <w:sz w:val="24"/>
          <w:szCs w:val="24"/>
          <w:lang w:eastAsia="en-AU"/>
        </w:rPr>
        <w:t xml:space="preserve"> 85 mg/m2; irinotecan 150 mg/m2; </w:t>
      </w:r>
      <w:proofErr w:type="spellStart"/>
      <w:r w:rsidRPr="003D2BB8">
        <w:rPr>
          <w:rFonts w:eastAsia="OTNEJMQuadraat"/>
          <w:sz w:val="24"/>
          <w:szCs w:val="24"/>
          <w:lang w:eastAsia="en-AU"/>
        </w:rPr>
        <w:t>leucovorin</w:t>
      </w:r>
      <w:proofErr w:type="spellEnd"/>
      <w:r>
        <w:rPr>
          <w:rFonts w:eastAsia="OTNEJMQuadraat"/>
          <w:sz w:val="24"/>
          <w:szCs w:val="24"/>
          <w:lang w:eastAsia="en-AU"/>
        </w:rPr>
        <w:t xml:space="preserve"> 50mg</w:t>
      </w:r>
      <w:r w:rsidRPr="003D2BB8">
        <w:rPr>
          <w:rFonts w:eastAsia="OTNEJMQuadraat"/>
          <w:sz w:val="24"/>
          <w:szCs w:val="24"/>
          <w:lang w:eastAsia="en-AU"/>
        </w:rPr>
        <w:t xml:space="preserve">; and FU 2400 mg/m2 46-hour continuous infusion, once every 2 weeks. Patients will be provided with adequate anti emetics and supportive medications as per the institution preference. Growth factors and prophylactic antibiotics are not mandated. </w:t>
      </w:r>
    </w:p>
    <w:p w:rsidR="00CE0618" w:rsidRPr="003D2BB8" w:rsidRDefault="00CE0618" w:rsidP="00CE0618">
      <w:pPr>
        <w:rPr>
          <w:rFonts w:eastAsia="OTNEJMQuadraat"/>
          <w:sz w:val="24"/>
          <w:szCs w:val="24"/>
          <w:lang w:eastAsia="en-AU"/>
        </w:rPr>
      </w:pPr>
      <w:r w:rsidRPr="003D2BB8">
        <w:rPr>
          <w:rFonts w:eastAsia="OTNEJMQuadraat"/>
          <w:sz w:val="24"/>
          <w:szCs w:val="24"/>
          <w:lang w:eastAsia="en-AU"/>
        </w:rPr>
        <w:t xml:space="preserve">ECF chemotherapy will be given as per the standard doses and schedule with 3 cycles pre-op and 3 cycles post operatively. Before each cycle of chemotherapy, a complete blood count, </w:t>
      </w:r>
      <w:r w:rsidRPr="003D2BB8">
        <w:rPr>
          <w:rFonts w:eastAsia="OTNEJMQuadraat"/>
          <w:sz w:val="24"/>
          <w:szCs w:val="24"/>
          <w:lang w:eastAsia="en-AU"/>
        </w:rPr>
        <w:lastRenderedPageBreak/>
        <w:t xml:space="preserve">renal and liver function tests will be checked.  </w:t>
      </w:r>
      <w:r w:rsidRPr="003D2BB8">
        <w:rPr>
          <w:rFonts w:eastAsia="Times New Roman"/>
          <w:color w:val="333333"/>
          <w:sz w:val="24"/>
          <w:szCs w:val="24"/>
          <w:lang w:eastAsia="en-AU"/>
        </w:rPr>
        <w:t>Patients will be reviewed and assessed every two weeks in the FOLFIRINOX arm and every 3 weeks in the ECF arm prior to each chemotherapy cycle.</w:t>
      </w:r>
    </w:p>
    <w:p w:rsidR="00CE0618" w:rsidRPr="003D2BB8" w:rsidRDefault="00CE0618" w:rsidP="00CE0618">
      <w:pPr>
        <w:rPr>
          <w:bCs/>
          <w:sz w:val="24"/>
          <w:szCs w:val="24"/>
          <w:lang w:eastAsia="en-AU"/>
        </w:rPr>
      </w:pPr>
      <w:r w:rsidRPr="003D2BB8">
        <w:rPr>
          <w:bCs/>
          <w:sz w:val="24"/>
          <w:szCs w:val="24"/>
          <w:lang w:eastAsia="en-AU"/>
        </w:rPr>
        <w:t xml:space="preserve">After completing all prescribed cycles of chemotherapy, patients will undergo restaging with CT scan and endoscopy prior to surgery. A minimum interval of 3 weeks will be mandated from last day of chemotherapy to surgery. Majority of the patients will have surgical resection within 3-6 weeks of completing chemotherapy. </w:t>
      </w:r>
      <w:proofErr w:type="spellStart"/>
      <w:r w:rsidRPr="003D2BB8">
        <w:rPr>
          <w:bCs/>
          <w:sz w:val="24"/>
          <w:szCs w:val="24"/>
          <w:lang w:eastAsia="en-AU"/>
        </w:rPr>
        <w:t>Post surgery</w:t>
      </w:r>
      <w:proofErr w:type="spellEnd"/>
      <w:r w:rsidRPr="003D2BB8">
        <w:rPr>
          <w:bCs/>
          <w:sz w:val="24"/>
          <w:szCs w:val="24"/>
          <w:lang w:eastAsia="en-AU"/>
        </w:rPr>
        <w:t xml:space="preserve">, patients will be followed clinically every 3 months and will have surveillance CT </w:t>
      </w:r>
      <w:proofErr w:type="gramStart"/>
      <w:r w:rsidRPr="003D2BB8">
        <w:rPr>
          <w:bCs/>
          <w:sz w:val="24"/>
          <w:szCs w:val="24"/>
          <w:lang w:eastAsia="en-AU"/>
        </w:rPr>
        <w:t>scan</w:t>
      </w:r>
      <w:proofErr w:type="gramEnd"/>
      <w:r w:rsidRPr="003D2BB8">
        <w:rPr>
          <w:bCs/>
          <w:sz w:val="24"/>
          <w:szCs w:val="24"/>
          <w:lang w:eastAsia="en-AU"/>
        </w:rPr>
        <w:t xml:space="preserve"> at 3, 6, 12, 24 and 36 months or as clinically indicated. </w:t>
      </w:r>
    </w:p>
    <w:p w:rsidR="00CE0618" w:rsidRPr="003D2BB8" w:rsidRDefault="00CE0618" w:rsidP="00CE0618">
      <w:pPr>
        <w:rPr>
          <w:b/>
          <w:bCs/>
          <w:sz w:val="24"/>
          <w:szCs w:val="24"/>
          <w:lang w:eastAsia="en-AU"/>
        </w:rPr>
      </w:pPr>
    </w:p>
    <w:p w:rsidR="00CE0618" w:rsidRPr="003D2BB8" w:rsidRDefault="00CE0618" w:rsidP="00CE0618">
      <w:pPr>
        <w:rPr>
          <w:b/>
          <w:bCs/>
          <w:sz w:val="24"/>
          <w:szCs w:val="24"/>
          <w:lang w:eastAsia="en-AU"/>
        </w:rPr>
      </w:pPr>
      <w:r w:rsidRPr="003D2BB8">
        <w:rPr>
          <w:b/>
          <w:bCs/>
          <w:sz w:val="24"/>
          <w:szCs w:val="24"/>
          <w:lang w:eastAsia="en-AU"/>
        </w:rPr>
        <w:t>Blood and tissue collection and storage</w:t>
      </w:r>
    </w:p>
    <w:p w:rsidR="00CE0618" w:rsidRPr="003D2BB8" w:rsidRDefault="00CE0618" w:rsidP="00CE0618">
      <w:pPr>
        <w:rPr>
          <w:b/>
          <w:bCs/>
          <w:sz w:val="24"/>
          <w:szCs w:val="24"/>
          <w:lang w:eastAsia="en-AU"/>
        </w:rPr>
      </w:pPr>
      <w:r w:rsidRPr="003D2BB8">
        <w:rPr>
          <w:b/>
          <w:sz w:val="24"/>
          <w:szCs w:val="24"/>
        </w:rPr>
        <w:t>Biomarker Evaluation</w:t>
      </w:r>
    </w:p>
    <w:p w:rsidR="00CE0618" w:rsidRPr="003D2BB8" w:rsidRDefault="00CE0618" w:rsidP="00CE0618">
      <w:pPr>
        <w:rPr>
          <w:bCs/>
          <w:sz w:val="24"/>
          <w:szCs w:val="24"/>
          <w:lang w:eastAsia="en-AU"/>
        </w:rPr>
      </w:pPr>
      <w:r w:rsidRPr="003D2BB8">
        <w:rPr>
          <w:bCs/>
          <w:sz w:val="24"/>
          <w:szCs w:val="24"/>
          <w:lang w:eastAsia="en-AU"/>
        </w:rPr>
        <w:t>The diagnostic biopsy and surgical resection undertaken for patients prior to the commencement of trial treatment provide an invaluable opportunity to obtain tumour tissue that may be analysed for biological markers in cancer. Blood samples for research will also be collected during the screening period and at the time of routine pre-treatment blood tests.</w:t>
      </w:r>
    </w:p>
    <w:p w:rsidR="00CE0618" w:rsidRPr="003D2BB8" w:rsidRDefault="00CE0618" w:rsidP="00CE0618">
      <w:pPr>
        <w:rPr>
          <w:bCs/>
          <w:sz w:val="24"/>
          <w:szCs w:val="24"/>
          <w:lang w:eastAsia="en-AU"/>
        </w:rPr>
      </w:pPr>
      <w:r w:rsidRPr="003D2BB8">
        <w:rPr>
          <w:bCs/>
          <w:sz w:val="24"/>
          <w:szCs w:val="24"/>
          <w:lang w:eastAsia="en-AU"/>
        </w:rPr>
        <w:t xml:space="preserve">Patients will be asked for an optional consent to unspecified future laboratory research on their tissue and blood samples as well as linkage of these to their health information. This optional consent will not affect patients’ participation in the main part of this trial. The information collected will not be used to identify any patient and the TMC will seek separate ethical approval for specific translational studies once individual study designs have been finalised. </w:t>
      </w:r>
    </w:p>
    <w:p w:rsidR="00CE0618" w:rsidRPr="003D2BB8" w:rsidRDefault="00CE0618" w:rsidP="00CE0618">
      <w:pPr>
        <w:rPr>
          <w:bCs/>
          <w:sz w:val="24"/>
          <w:szCs w:val="24"/>
          <w:lang w:eastAsia="en-AU"/>
        </w:rPr>
      </w:pPr>
      <w:r w:rsidRPr="003D2BB8">
        <w:rPr>
          <w:bCs/>
          <w:sz w:val="24"/>
          <w:szCs w:val="24"/>
          <w:lang w:eastAsia="en-AU"/>
        </w:rPr>
        <w:t xml:space="preserve">The studies will include but not be limited to analyses of potential biomarkers of response to treatment, potential prognostic and predictive biomarkers and may involve but not be limited to techniques such as genome-wide association analysis, next generation sequencing, exome and transcriptome sequencing and ELISA assays. </w:t>
      </w:r>
    </w:p>
    <w:p w:rsidR="00CE0618" w:rsidRPr="003D2BB8" w:rsidRDefault="00CE0618" w:rsidP="00CE0618">
      <w:pPr>
        <w:rPr>
          <w:b/>
          <w:bCs/>
          <w:sz w:val="24"/>
          <w:szCs w:val="24"/>
          <w:lang w:eastAsia="en-AU"/>
        </w:rPr>
      </w:pPr>
      <w:r w:rsidRPr="003D2BB8">
        <w:rPr>
          <w:b/>
          <w:bCs/>
          <w:sz w:val="24"/>
          <w:szCs w:val="24"/>
          <w:lang w:eastAsia="en-AU"/>
        </w:rPr>
        <w:t xml:space="preserve">Tissue collection </w:t>
      </w:r>
    </w:p>
    <w:p w:rsidR="00CE0618" w:rsidRPr="003D2BB8" w:rsidRDefault="00CE0618" w:rsidP="00CE0618">
      <w:pPr>
        <w:rPr>
          <w:bCs/>
          <w:sz w:val="24"/>
          <w:szCs w:val="24"/>
          <w:lang w:eastAsia="en-AU"/>
        </w:rPr>
      </w:pPr>
      <w:r w:rsidRPr="003D2BB8">
        <w:rPr>
          <w:bCs/>
          <w:sz w:val="24"/>
          <w:szCs w:val="24"/>
          <w:lang w:eastAsia="en-AU"/>
        </w:rPr>
        <w:t xml:space="preserve">Tissue samples from the time of diagnostic biopsy and surgical resection are routinely stored at pathology laboratories where initial histological assessments were performed. For patients who consent to an optional unspecified laboratory research, archived tissue samples will be accessed in future for further testing. As mentioned above patients will be asked as an optional consent for future access to their archived tumour tissue for future biomarker research. All future research proposals will be sent for separate ethics committee approval prior to any biomarker research. </w:t>
      </w:r>
    </w:p>
    <w:p w:rsidR="00CE0618" w:rsidRDefault="00CE0618" w:rsidP="00CE0618">
      <w:pPr>
        <w:rPr>
          <w:b/>
          <w:bCs/>
          <w:sz w:val="24"/>
          <w:szCs w:val="24"/>
          <w:lang w:eastAsia="en-AU"/>
        </w:rPr>
      </w:pPr>
    </w:p>
    <w:p w:rsidR="00CE0618" w:rsidRPr="003D2BB8" w:rsidRDefault="00CE0618" w:rsidP="00CE0618">
      <w:pPr>
        <w:rPr>
          <w:b/>
          <w:bCs/>
          <w:sz w:val="24"/>
          <w:szCs w:val="24"/>
          <w:lang w:eastAsia="en-AU"/>
        </w:rPr>
      </w:pPr>
      <w:r w:rsidRPr="003D2BB8">
        <w:rPr>
          <w:b/>
          <w:bCs/>
          <w:sz w:val="24"/>
          <w:szCs w:val="24"/>
          <w:lang w:eastAsia="en-AU"/>
        </w:rPr>
        <w:t xml:space="preserve">Central blood collection </w:t>
      </w:r>
    </w:p>
    <w:p w:rsidR="00CE0618" w:rsidRPr="003D2BB8" w:rsidRDefault="00CE0618" w:rsidP="00CE0618">
      <w:pPr>
        <w:rPr>
          <w:bCs/>
          <w:sz w:val="24"/>
          <w:szCs w:val="24"/>
          <w:lang w:eastAsia="en-AU"/>
        </w:rPr>
      </w:pPr>
      <w:r w:rsidRPr="003D2BB8">
        <w:rPr>
          <w:bCs/>
          <w:sz w:val="24"/>
          <w:szCs w:val="24"/>
          <w:lang w:eastAsia="en-AU"/>
        </w:rPr>
        <w:t xml:space="preserve">Blood will be obtained after the informed consent during the screening period and at the time of routine pre-treatment blood tests. These samples will be stored for future analyses. This blood collection is required for all study patients. </w:t>
      </w:r>
    </w:p>
    <w:p w:rsidR="00CE0618" w:rsidRPr="003D2BB8" w:rsidRDefault="00CE0618" w:rsidP="00CE0618">
      <w:pPr>
        <w:rPr>
          <w:bCs/>
          <w:sz w:val="24"/>
          <w:szCs w:val="24"/>
          <w:lang w:eastAsia="en-AU"/>
        </w:rPr>
      </w:pPr>
      <w:r w:rsidRPr="003D2BB8">
        <w:rPr>
          <w:b/>
          <w:bCs/>
          <w:sz w:val="24"/>
          <w:szCs w:val="24"/>
          <w:lang w:eastAsia="en-AU"/>
        </w:rPr>
        <w:t>Ethical considerations</w:t>
      </w:r>
      <w:r w:rsidRPr="003D2BB8">
        <w:rPr>
          <w:bCs/>
          <w:sz w:val="24"/>
          <w:szCs w:val="24"/>
          <w:lang w:eastAsia="en-AU"/>
        </w:rPr>
        <w:t xml:space="preserve"> </w:t>
      </w:r>
    </w:p>
    <w:p w:rsidR="00CE0618" w:rsidRPr="003D2BB8" w:rsidRDefault="00CE0618" w:rsidP="00CE0618">
      <w:pPr>
        <w:rPr>
          <w:bCs/>
          <w:sz w:val="24"/>
          <w:szCs w:val="24"/>
          <w:lang w:eastAsia="en-AU"/>
        </w:rPr>
      </w:pPr>
      <w:r w:rsidRPr="003D2BB8">
        <w:rPr>
          <w:bCs/>
          <w:sz w:val="24"/>
          <w:szCs w:val="24"/>
          <w:lang w:eastAsia="en-AU"/>
        </w:rPr>
        <w:t>Written informed consent must be obtained from all patients before entering this study. Patients will be supplied with Patient Information Sheet. The study will be submitted to respective Hospital Ethics Committee for approval before patients can be entered into the study. Participation into this study is voluntary. Patients will be made aware that their decision not to take part or to withdraw from the study has no influence on routine treatment, their relationship with treating physicians or treating centres through Patient Information Sheet.</w:t>
      </w:r>
    </w:p>
    <w:p w:rsidR="00CE0618" w:rsidRPr="003D2BB8" w:rsidRDefault="00CE0618" w:rsidP="00CE0618">
      <w:pPr>
        <w:rPr>
          <w:b/>
          <w:sz w:val="24"/>
          <w:szCs w:val="24"/>
        </w:rPr>
      </w:pPr>
      <w:r w:rsidRPr="003D2BB8">
        <w:rPr>
          <w:b/>
          <w:sz w:val="24"/>
          <w:szCs w:val="24"/>
        </w:rPr>
        <w:t xml:space="preserve">Confidentiality </w:t>
      </w:r>
    </w:p>
    <w:p w:rsidR="00CE0618" w:rsidRPr="003D2BB8" w:rsidRDefault="00CE0618" w:rsidP="00CE0618">
      <w:pPr>
        <w:rPr>
          <w:bCs/>
          <w:sz w:val="24"/>
          <w:szCs w:val="24"/>
          <w:lang w:eastAsia="en-AU"/>
        </w:rPr>
      </w:pPr>
      <w:r w:rsidRPr="003D2BB8">
        <w:t xml:space="preserve">The study will be conducted in accordance with applicable Privacy Acts and Regulations. All data generated in this study will remain confidential. All information will be stored securely in clinical data base </w:t>
      </w:r>
      <w:proofErr w:type="gramStart"/>
      <w:r w:rsidRPr="003D2BB8">
        <w:t>of  the</w:t>
      </w:r>
      <w:proofErr w:type="gramEnd"/>
      <w:r w:rsidRPr="003D2BB8">
        <w:t xml:space="preserve"> Oncology Clinical Trials Unit, Royal Adelaide Hospital and will only be available to staff directly involved with the study.</w:t>
      </w:r>
    </w:p>
    <w:p w:rsidR="00CE0618" w:rsidRPr="003D2BB8" w:rsidRDefault="00CE0618" w:rsidP="00CE0618">
      <w:pPr>
        <w:rPr>
          <w:b/>
          <w:color w:val="000000"/>
          <w:sz w:val="24"/>
          <w:szCs w:val="24"/>
          <w:lang w:val="en"/>
        </w:rPr>
      </w:pPr>
      <w:r w:rsidRPr="003D2BB8">
        <w:rPr>
          <w:b/>
          <w:bCs/>
          <w:sz w:val="24"/>
          <w:szCs w:val="24"/>
          <w:lang w:eastAsia="en-AU"/>
        </w:rPr>
        <w:t>Statistical Analysis</w:t>
      </w:r>
    </w:p>
    <w:p w:rsidR="00CE0618" w:rsidRPr="003D2BB8" w:rsidRDefault="00CE0618" w:rsidP="00CE0618">
      <w:pPr>
        <w:rPr>
          <w:sz w:val="24"/>
          <w:szCs w:val="24"/>
        </w:rPr>
      </w:pPr>
      <w:r w:rsidRPr="003D2BB8">
        <w:rPr>
          <w:sz w:val="24"/>
          <w:szCs w:val="24"/>
        </w:rPr>
        <w:t>The a</w:t>
      </w:r>
      <w:r w:rsidRPr="003D2BB8">
        <w:rPr>
          <w:rFonts w:eastAsia="OTNEJMQuadraat"/>
          <w:sz w:val="24"/>
          <w:szCs w:val="24"/>
          <w:lang w:eastAsia="en-AU"/>
        </w:rPr>
        <w:t xml:space="preserve">bility of 6 patients to undergo curative gastric resection within 18 weeks of starting </w:t>
      </w:r>
      <w:proofErr w:type="gramStart"/>
      <w:r w:rsidRPr="003D2BB8">
        <w:rPr>
          <w:rFonts w:eastAsia="OTNEJMQuadraat"/>
          <w:sz w:val="24"/>
          <w:szCs w:val="24"/>
          <w:lang w:eastAsia="en-AU"/>
        </w:rPr>
        <w:t>FOLFIRINOX  will</w:t>
      </w:r>
      <w:proofErr w:type="gramEnd"/>
      <w:r w:rsidRPr="003D2BB8">
        <w:rPr>
          <w:rFonts w:eastAsia="OTNEJMQuadraat"/>
          <w:sz w:val="24"/>
          <w:szCs w:val="24"/>
          <w:lang w:eastAsia="en-AU"/>
        </w:rPr>
        <w:t xml:space="preserve"> allow opening of the randomised phase II portion of the trial. </w:t>
      </w:r>
    </w:p>
    <w:p w:rsidR="00CE0618" w:rsidRPr="003D2BB8" w:rsidRDefault="00CE0618" w:rsidP="00CE0618">
      <w:pPr>
        <w:rPr>
          <w:sz w:val="24"/>
          <w:szCs w:val="24"/>
        </w:rPr>
      </w:pPr>
      <w:r w:rsidRPr="003D2BB8">
        <w:rPr>
          <w:sz w:val="24"/>
          <w:szCs w:val="24"/>
        </w:rPr>
        <w:t xml:space="preserve">The PFS in the ECF arm was 45% at 2 years. A clinically meaningful improvement would be increase to 65% in the experimental arm at 2 years. </w:t>
      </w:r>
    </w:p>
    <w:p w:rsidR="00CE0618" w:rsidRPr="007C5521" w:rsidRDefault="00CE0618" w:rsidP="00CE0618">
      <w:pPr>
        <w:rPr>
          <w:rFonts w:asciiTheme="minorHAnsi" w:hAnsiTheme="minorHAnsi" w:cs="Arial"/>
          <w:color w:val="FF0000"/>
          <w:sz w:val="24"/>
          <w:szCs w:val="24"/>
        </w:rPr>
      </w:pPr>
      <w:r w:rsidRPr="003D2BB8">
        <w:rPr>
          <w:sz w:val="24"/>
          <w:szCs w:val="24"/>
        </w:rPr>
        <w:t xml:space="preserve">Group sample sizes of 96 in Group 1 and 96 in Group 2 achieve 80% power to detect a difference between the group proportions of 0.200. The proportion in Group 1 (the treatment group) is assumed to be 0.4500 under the null hypothesis and 0.6500 under the alternative hypothesis. The proportion in Group 2 (the control group) is 0.4500. The test statistic used is the two-sided Z test with pooled variance. The significance level of the test was targeted at 0.0500. </w:t>
      </w:r>
      <w:r w:rsidRPr="007C5521">
        <w:rPr>
          <w:rFonts w:asciiTheme="minorHAnsi" w:hAnsiTheme="minorHAnsi" w:cs="Arial"/>
          <w:color w:val="FF0000"/>
          <w:sz w:val="24"/>
          <w:szCs w:val="24"/>
        </w:rPr>
        <w:t xml:space="preserve">To compare two survival </w:t>
      </w:r>
      <w:r w:rsidR="00CA1F34" w:rsidRPr="007C5521">
        <w:rPr>
          <w:rFonts w:asciiTheme="minorHAnsi" w:hAnsiTheme="minorHAnsi" w:cs="Arial"/>
          <w:color w:val="FF0000"/>
          <w:sz w:val="24"/>
          <w:szCs w:val="24"/>
        </w:rPr>
        <w:t>proportions</w:t>
      </w:r>
      <w:r w:rsidRPr="007C5521">
        <w:rPr>
          <w:rFonts w:asciiTheme="minorHAnsi" w:hAnsiTheme="minorHAnsi" w:cs="Arial"/>
          <w:color w:val="FF0000"/>
          <w:sz w:val="24"/>
          <w:szCs w:val="24"/>
        </w:rPr>
        <w:t xml:space="preserve"> at the end of 2 years, Z test if fine and the sample size calculation is actually based on Z test with pooled variance, not Person chi-square test. </w:t>
      </w:r>
    </w:p>
    <w:p w:rsidR="00CE0618" w:rsidRPr="003D2BB8" w:rsidRDefault="00CE0618" w:rsidP="00CE0618">
      <w:pPr>
        <w:rPr>
          <w:sz w:val="24"/>
          <w:szCs w:val="24"/>
        </w:rPr>
      </w:pPr>
    </w:p>
    <w:p w:rsidR="00CE0618" w:rsidRPr="003D2BB8" w:rsidRDefault="00CE0618" w:rsidP="00CE0618">
      <w:pPr>
        <w:rPr>
          <w:b/>
          <w:sz w:val="24"/>
          <w:szCs w:val="24"/>
        </w:rPr>
      </w:pPr>
      <w:r w:rsidRPr="003D2BB8">
        <w:rPr>
          <w:b/>
          <w:sz w:val="24"/>
          <w:szCs w:val="24"/>
        </w:rPr>
        <w:t>References</w:t>
      </w:r>
    </w:p>
    <w:p w:rsidR="00CE0618" w:rsidRPr="003D2BB8" w:rsidRDefault="00CE0618" w:rsidP="00CE0618">
      <w:pPr>
        <w:rPr>
          <w:rFonts w:eastAsia="Times New Roman"/>
          <w:color w:val="222222"/>
          <w:sz w:val="24"/>
          <w:szCs w:val="24"/>
          <w:bdr w:val="none" w:sz="0" w:space="0" w:color="auto" w:frame="1"/>
          <w:lang w:eastAsia="en-AU"/>
        </w:rPr>
      </w:pPr>
      <w:proofErr w:type="spellStart"/>
      <w:r w:rsidRPr="003D2BB8">
        <w:rPr>
          <w:rFonts w:eastAsia="Times New Roman"/>
          <w:color w:val="222222"/>
          <w:sz w:val="24"/>
          <w:szCs w:val="24"/>
          <w:bdr w:val="none" w:sz="0" w:space="0" w:color="auto" w:frame="1"/>
          <w:lang w:eastAsia="en-AU"/>
        </w:rPr>
        <w:lastRenderedPageBreak/>
        <w:t>Ferlay</w:t>
      </w:r>
      <w:proofErr w:type="spellEnd"/>
      <w:r w:rsidRPr="003D2BB8">
        <w:rPr>
          <w:rFonts w:eastAsia="Times New Roman"/>
          <w:color w:val="222222"/>
          <w:sz w:val="24"/>
          <w:szCs w:val="24"/>
          <w:bdr w:val="none" w:sz="0" w:space="0" w:color="auto" w:frame="1"/>
          <w:lang w:eastAsia="en-AU"/>
        </w:rPr>
        <w:t xml:space="preserve"> J, </w:t>
      </w:r>
      <w:proofErr w:type="spellStart"/>
      <w:r w:rsidRPr="003D2BB8">
        <w:rPr>
          <w:rFonts w:eastAsia="Times New Roman"/>
          <w:color w:val="222222"/>
          <w:sz w:val="24"/>
          <w:szCs w:val="24"/>
          <w:bdr w:val="none" w:sz="0" w:space="0" w:color="auto" w:frame="1"/>
          <w:lang w:eastAsia="en-AU"/>
        </w:rPr>
        <w:t>Soerjomataram</w:t>
      </w:r>
      <w:proofErr w:type="spellEnd"/>
      <w:r w:rsidRPr="003D2BB8">
        <w:rPr>
          <w:rFonts w:eastAsia="Times New Roman"/>
          <w:color w:val="222222"/>
          <w:sz w:val="24"/>
          <w:szCs w:val="24"/>
          <w:bdr w:val="none" w:sz="0" w:space="0" w:color="auto" w:frame="1"/>
          <w:lang w:eastAsia="en-AU"/>
        </w:rPr>
        <w:t xml:space="preserve"> I, </w:t>
      </w:r>
      <w:proofErr w:type="spellStart"/>
      <w:r w:rsidRPr="003D2BB8">
        <w:rPr>
          <w:rFonts w:eastAsia="Times New Roman"/>
          <w:color w:val="222222"/>
          <w:sz w:val="24"/>
          <w:szCs w:val="24"/>
          <w:bdr w:val="none" w:sz="0" w:space="0" w:color="auto" w:frame="1"/>
          <w:lang w:eastAsia="en-AU"/>
        </w:rPr>
        <w:t>Ervik</w:t>
      </w:r>
      <w:proofErr w:type="spellEnd"/>
      <w:r w:rsidRPr="003D2BB8">
        <w:rPr>
          <w:rFonts w:eastAsia="Times New Roman"/>
          <w:color w:val="222222"/>
          <w:sz w:val="24"/>
          <w:szCs w:val="24"/>
          <w:bdr w:val="none" w:sz="0" w:space="0" w:color="auto" w:frame="1"/>
          <w:lang w:eastAsia="en-AU"/>
        </w:rPr>
        <w:t xml:space="preserve"> M, et al. (2013) GLOBOCAN 2012 version 1.0: Cancer Incidence and Mortality Worldwide—IARC </w:t>
      </w:r>
      <w:proofErr w:type="spellStart"/>
      <w:r w:rsidRPr="003D2BB8">
        <w:rPr>
          <w:rFonts w:eastAsia="Times New Roman"/>
          <w:color w:val="222222"/>
          <w:sz w:val="24"/>
          <w:szCs w:val="24"/>
          <w:bdr w:val="none" w:sz="0" w:space="0" w:color="auto" w:frame="1"/>
          <w:lang w:eastAsia="en-AU"/>
        </w:rPr>
        <w:t>CancerBase</w:t>
      </w:r>
      <w:proofErr w:type="spellEnd"/>
      <w:r w:rsidRPr="003D2BB8">
        <w:rPr>
          <w:rFonts w:eastAsia="Times New Roman"/>
          <w:color w:val="222222"/>
          <w:sz w:val="24"/>
          <w:szCs w:val="24"/>
          <w:bdr w:val="none" w:sz="0" w:space="0" w:color="auto" w:frame="1"/>
          <w:lang w:eastAsia="en-AU"/>
        </w:rPr>
        <w:t xml:space="preserve"> No. 11 (International Agency for Research on Cancer, Lyon, France)</w:t>
      </w:r>
    </w:p>
    <w:p w:rsidR="00CE0618" w:rsidRPr="003D2BB8" w:rsidRDefault="00CE0618" w:rsidP="00CE0618">
      <w:pPr>
        <w:rPr>
          <w:sz w:val="24"/>
          <w:szCs w:val="24"/>
        </w:rPr>
      </w:pPr>
      <w:proofErr w:type="gramStart"/>
      <w:r w:rsidRPr="003D2BB8">
        <w:rPr>
          <w:sz w:val="24"/>
          <w:szCs w:val="24"/>
        </w:rPr>
        <w:t>Siegel R, Ma J, Zou Z, et al. (2014) Cancer statistics, 2014.</w:t>
      </w:r>
      <w:proofErr w:type="gramEnd"/>
      <w:r w:rsidRPr="003D2BB8">
        <w:rPr>
          <w:sz w:val="24"/>
          <w:szCs w:val="24"/>
        </w:rPr>
        <w:t xml:space="preserve"> CA Cancer J </w:t>
      </w:r>
      <w:proofErr w:type="spellStart"/>
      <w:r w:rsidRPr="003D2BB8">
        <w:rPr>
          <w:sz w:val="24"/>
          <w:szCs w:val="24"/>
        </w:rPr>
        <w:t>Clin</w:t>
      </w:r>
      <w:proofErr w:type="spellEnd"/>
      <w:r w:rsidRPr="003D2BB8">
        <w:rPr>
          <w:sz w:val="24"/>
          <w:szCs w:val="24"/>
        </w:rPr>
        <w:t xml:space="preserve"> 64:9–29.</w:t>
      </w:r>
    </w:p>
    <w:p w:rsidR="00CE0618" w:rsidRPr="003D2BB8" w:rsidRDefault="00CE0618" w:rsidP="00CE0618">
      <w:pPr>
        <w:rPr>
          <w:sz w:val="24"/>
          <w:szCs w:val="24"/>
        </w:rPr>
      </w:pPr>
      <w:r w:rsidRPr="003D2BB8">
        <w:rPr>
          <w:sz w:val="24"/>
          <w:szCs w:val="24"/>
        </w:rPr>
        <w:t xml:space="preserve">Cunningham D, </w:t>
      </w:r>
      <w:proofErr w:type="spellStart"/>
      <w:r w:rsidRPr="003D2BB8">
        <w:rPr>
          <w:sz w:val="24"/>
          <w:szCs w:val="24"/>
        </w:rPr>
        <w:t>Allum</w:t>
      </w:r>
      <w:proofErr w:type="spellEnd"/>
      <w:r w:rsidRPr="003D2BB8">
        <w:rPr>
          <w:sz w:val="24"/>
          <w:szCs w:val="24"/>
        </w:rPr>
        <w:t xml:space="preserve"> WH, </w:t>
      </w:r>
      <w:proofErr w:type="spellStart"/>
      <w:r w:rsidRPr="003D2BB8">
        <w:rPr>
          <w:sz w:val="24"/>
          <w:szCs w:val="24"/>
        </w:rPr>
        <w:t>Stenning</w:t>
      </w:r>
      <w:proofErr w:type="spellEnd"/>
      <w:r w:rsidRPr="003D2BB8">
        <w:rPr>
          <w:sz w:val="24"/>
          <w:szCs w:val="24"/>
        </w:rPr>
        <w:t xml:space="preserve"> SP, et al. (2006) Perioperative chemotherapy versus surgery alone for resectable gastroesophageal cancer. N </w:t>
      </w:r>
      <w:proofErr w:type="spellStart"/>
      <w:r w:rsidRPr="003D2BB8">
        <w:rPr>
          <w:sz w:val="24"/>
          <w:szCs w:val="24"/>
        </w:rPr>
        <w:t>Engl</w:t>
      </w:r>
      <w:proofErr w:type="spellEnd"/>
      <w:r w:rsidRPr="003D2BB8">
        <w:rPr>
          <w:sz w:val="24"/>
          <w:szCs w:val="24"/>
        </w:rPr>
        <w:t xml:space="preserve"> J Med 355:11–20.</w:t>
      </w:r>
    </w:p>
    <w:p w:rsidR="00CE0618" w:rsidRPr="003D2BB8" w:rsidRDefault="00CE0618" w:rsidP="00CE0618">
      <w:pPr>
        <w:rPr>
          <w:sz w:val="24"/>
          <w:szCs w:val="24"/>
        </w:rPr>
      </w:pPr>
      <w:proofErr w:type="spellStart"/>
      <w:r w:rsidRPr="003D2BB8">
        <w:rPr>
          <w:sz w:val="24"/>
          <w:szCs w:val="24"/>
        </w:rPr>
        <w:t>Ychou</w:t>
      </w:r>
      <w:proofErr w:type="spellEnd"/>
      <w:r w:rsidRPr="003D2BB8">
        <w:rPr>
          <w:sz w:val="24"/>
          <w:szCs w:val="24"/>
        </w:rPr>
        <w:t xml:space="preserve"> M, </w:t>
      </w:r>
      <w:proofErr w:type="spellStart"/>
      <w:r w:rsidRPr="003D2BB8">
        <w:rPr>
          <w:sz w:val="24"/>
          <w:szCs w:val="24"/>
        </w:rPr>
        <w:t>Boige</w:t>
      </w:r>
      <w:proofErr w:type="spellEnd"/>
      <w:r w:rsidRPr="003D2BB8">
        <w:rPr>
          <w:sz w:val="24"/>
          <w:szCs w:val="24"/>
        </w:rPr>
        <w:t xml:space="preserve"> V, </w:t>
      </w:r>
      <w:proofErr w:type="spellStart"/>
      <w:proofErr w:type="gramStart"/>
      <w:r w:rsidRPr="003D2BB8">
        <w:rPr>
          <w:sz w:val="24"/>
          <w:szCs w:val="24"/>
        </w:rPr>
        <w:t>Pignon</w:t>
      </w:r>
      <w:proofErr w:type="spellEnd"/>
      <w:proofErr w:type="gramEnd"/>
      <w:r w:rsidRPr="003D2BB8">
        <w:rPr>
          <w:sz w:val="24"/>
          <w:szCs w:val="24"/>
        </w:rPr>
        <w:t xml:space="preserve"> JP, et al. (2011) Perioperative chemotherapy compared with surgery alone for resectable gastroesophageal adenocarcinoma: An FNCLCC and FFCD </w:t>
      </w:r>
      <w:proofErr w:type="spellStart"/>
      <w:r w:rsidRPr="003D2BB8">
        <w:rPr>
          <w:sz w:val="24"/>
          <w:szCs w:val="24"/>
        </w:rPr>
        <w:t>multicenter</w:t>
      </w:r>
      <w:proofErr w:type="spellEnd"/>
      <w:r w:rsidRPr="003D2BB8">
        <w:rPr>
          <w:sz w:val="24"/>
          <w:szCs w:val="24"/>
        </w:rPr>
        <w:t xml:space="preserve"> phase III trial. J </w:t>
      </w:r>
      <w:proofErr w:type="spellStart"/>
      <w:r w:rsidRPr="003D2BB8">
        <w:rPr>
          <w:sz w:val="24"/>
          <w:szCs w:val="24"/>
        </w:rPr>
        <w:t>Clin</w:t>
      </w:r>
      <w:proofErr w:type="spellEnd"/>
      <w:r w:rsidRPr="003D2BB8">
        <w:rPr>
          <w:sz w:val="24"/>
          <w:szCs w:val="24"/>
        </w:rPr>
        <w:t xml:space="preserve"> </w:t>
      </w:r>
      <w:proofErr w:type="spellStart"/>
      <w:r w:rsidRPr="003D2BB8">
        <w:rPr>
          <w:sz w:val="24"/>
          <w:szCs w:val="24"/>
        </w:rPr>
        <w:t>Oncol</w:t>
      </w:r>
      <w:proofErr w:type="spellEnd"/>
      <w:r w:rsidRPr="003D2BB8">
        <w:rPr>
          <w:sz w:val="24"/>
          <w:szCs w:val="24"/>
        </w:rPr>
        <w:t xml:space="preserve"> 29:1715–1721.</w:t>
      </w:r>
    </w:p>
    <w:p w:rsidR="00CE0618" w:rsidRPr="003D2BB8" w:rsidRDefault="00CE0618" w:rsidP="00CE0618">
      <w:pPr>
        <w:autoSpaceDE w:val="0"/>
        <w:autoSpaceDN w:val="0"/>
        <w:adjustRightInd w:val="0"/>
        <w:spacing w:after="0" w:line="240" w:lineRule="auto"/>
        <w:rPr>
          <w:rFonts w:cs="AdvP44F0BF"/>
          <w:sz w:val="24"/>
          <w:szCs w:val="24"/>
          <w:lang w:eastAsia="en-AU"/>
        </w:rPr>
      </w:pPr>
      <w:proofErr w:type="spellStart"/>
      <w:r w:rsidRPr="003D2BB8">
        <w:rPr>
          <w:rFonts w:cs="AdvP44F0BF"/>
          <w:sz w:val="24"/>
          <w:szCs w:val="24"/>
          <w:lang w:eastAsia="en-AU"/>
        </w:rPr>
        <w:t>Vallbohmer</w:t>
      </w:r>
      <w:proofErr w:type="spellEnd"/>
      <w:r w:rsidRPr="003D2BB8">
        <w:rPr>
          <w:rFonts w:cs="AdvP44F0BF"/>
          <w:sz w:val="24"/>
          <w:szCs w:val="24"/>
          <w:lang w:eastAsia="en-AU"/>
        </w:rPr>
        <w:t xml:space="preserve"> D, </w:t>
      </w:r>
      <w:proofErr w:type="spellStart"/>
      <w:r w:rsidRPr="003D2BB8">
        <w:rPr>
          <w:rFonts w:cs="AdvP44F0BF"/>
          <w:sz w:val="24"/>
          <w:szCs w:val="24"/>
          <w:lang w:eastAsia="en-AU"/>
        </w:rPr>
        <w:t>Holscher</w:t>
      </w:r>
      <w:proofErr w:type="spellEnd"/>
      <w:r w:rsidRPr="003D2BB8">
        <w:rPr>
          <w:rFonts w:cs="AdvP44F0BF"/>
          <w:sz w:val="24"/>
          <w:szCs w:val="24"/>
          <w:lang w:eastAsia="en-AU"/>
        </w:rPr>
        <w:t xml:space="preserve"> AH, Schneider PM, et al. [18F]-</w:t>
      </w:r>
      <w:proofErr w:type="spellStart"/>
      <w:r w:rsidRPr="003D2BB8">
        <w:rPr>
          <w:rFonts w:cs="AdvP44F0BF"/>
          <w:sz w:val="24"/>
          <w:szCs w:val="24"/>
          <w:lang w:eastAsia="en-AU"/>
        </w:rPr>
        <w:t>Fluorodeoxyglucose</w:t>
      </w:r>
      <w:proofErr w:type="spellEnd"/>
      <w:r w:rsidRPr="003D2BB8">
        <w:rPr>
          <w:rFonts w:cs="AdvP44F0BF"/>
          <w:sz w:val="24"/>
          <w:szCs w:val="24"/>
          <w:lang w:eastAsia="en-AU"/>
        </w:rPr>
        <w:t xml:space="preserve">-Positron Emission Tomography for the Assessment of Histopathologic Response and Prognosis </w:t>
      </w:r>
      <w:proofErr w:type="gramStart"/>
      <w:r w:rsidRPr="003D2BB8">
        <w:rPr>
          <w:rFonts w:cs="AdvP44F0BF"/>
          <w:sz w:val="24"/>
          <w:szCs w:val="24"/>
          <w:lang w:eastAsia="en-AU"/>
        </w:rPr>
        <w:t>After</w:t>
      </w:r>
      <w:proofErr w:type="gramEnd"/>
      <w:r w:rsidRPr="003D2BB8">
        <w:rPr>
          <w:rFonts w:cs="AdvP44F0BF"/>
          <w:sz w:val="24"/>
          <w:szCs w:val="24"/>
          <w:lang w:eastAsia="en-AU"/>
        </w:rPr>
        <w:t xml:space="preserve"> Completion of Neoadjuvant Chemotherapy in Gastric Cancer. J </w:t>
      </w:r>
      <w:proofErr w:type="spellStart"/>
      <w:r w:rsidRPr="003D2BB8">
        <w:rPr>
          <w:rFonts w:cs="AdvP44F0BF"/>
          <w:sz w:val="24"/>
          <w:szCs w:val="24"/>
          <w:lang w:eastAsia="en-AU"/>
        </w:rPr>
        <w:t>Surg</w:t>
      </w:r>
      <w:proofErr w:type="spellEnd"/>
      <w:r w:rsidRPr="003D2BB8">
        <w:rPr>
          <w:rFonts w:cs="AdvP44F0BF"/>
          <w:sz w:val="24"/>
          <w:szCs w:val="24"/>
          <w:lang w:eastAsia="en-AU"/>
        </w:rPr>
        <w:t xml:space="preserve"> </w:t>
      </w:r>
      <w:proofErr w:type="spellStart"/>
      <w:r w:rsidRPr="003D2BB8">
        <w:rPr>
          <w:rFonts w:cs="AdvP44F0BF"/>
          <w:sz w:val="24"/>
          <w:szCs w:val="24"/>
          <w:lang w:eastAsia="en-AU"/>
        </w:rPr>
        <w:t>Oncol</w:t>
      </w:r>
      <w:proofErr w:type="spellEnd"/>
      <w:r w:rsidRPr="003D2BB8">
        <w:rPr>
          <w:rFonts w:cs="AdvP44F0BF"/>
          <w:sz w:val="24"/>
          <w:szCs w:val="24"/>
          <w:lang w:eastAsia="en-AU"/>
        </w:rPr>
        <w:t xml:space="preserve"> 2010; 102:135–140.</w:t>
      </w:r>
    </w:p>
    <w:p w:rsidR="00CE0618" w:rsidRPr="003D2BB8" w:rsidRDefault="00CE0618" w:rsidP="00CE0618">
      <w:pPr>
        <w:autoSpaceDE w:val="0"/>
        <w:autoSpaceDN w:val="0"/>
        <w:adjustRightInd w:val="0"/>
        <w:spacing w:after="0" w:line="240" w:lineRule="auto"/>
        <w:rPr>
          <w:sz w:val="24"/>
          <w:szCs w:val="24"/>
        </w:rPr>
      </w:pPr>
    </w:p>
    <w:p w:rsidR="00CE0618" w:rsidRPr="003D2BB8" w:rsidRDefault="00CE0618" w:rsidP="00CE0618">
      <w:pPr>
        <w:rPr>
          <w:sz w:val="24"/>
          <w:szCs w:val="24"/>
        </w:rPr>
      </w:pPr>
      <w:proofErr w:type="spellStart"/>
      <w:r w:rsidRPr="003D2BB8">
        <w:rPr>
          <w:rFonts w:eastAsia="Times New Roman"/>
          <w:bCs/>
          <w:sz w:val="24"/>
          <w:szCs w:val="24"/>
          <w:bdr w:val="none" w:sz="0" w:space="0" w:color="auto" w:frame="1"/>
          <w:lang w:eastAsia="en-AU"/>
        </w:rPr>
        <w:t>Mingol</w:t>
      </w:r>
      <w:proofErr w:type="spellEnd"/>
      <w:r w:rsidRPr="003D2BB8">
        <w:rPr>
          <w:rFonts w:eastAsia="Times New Roman"/>
          <w:bCs/>
          <w:sz w:val="24"/>
          <w:szCs w:val="24"/>
          <w:bdr w:val="none" w:sz="0" w:space="0" w:color="auto" w:frame="1"/>
          <w:lang w:eastAsia="en-AU"/>
        </w:rPr>
        <w:t xml:space="preserve"> F, </w:t>
      </w:r>
      <w:proofErr w:type="spellStart"/>
      <w:r w:rsidRPr="003D2BB8">
        <w:rPr>
          <w:rFonts w:eastAsia="Times New Roman"/>
          <w:bCs/>
          <w:sz w:val="24"/>
          <w:szCs w:val="24"/>
          <w:bdr w:val="none" w:sz="0" w:space="0" w:color="auto" w:frame="1"/>
          <w:lang w:eastAsia="en-AU"/>
        </w:rPr>
        <w:t>Gallego</w:t>
      </w:r>
      <w:proofErr w:type="spellEnd"/>
      <w:r w:rsidRPr="003D2BB8">
        <w:rPr>
          <w:rFonts w:eastAsia="Times New Roman"/>
          <w:bCs/>
          <w:sz w:val="24"/>
          <w:szCs w:val="24"/>
          <w:bdr w:val="none" w:sz="0" w:space="0" w:color="auto" w:frame="1"/>
          <w:lang w:eastAsia="en-AU"/>
        </w:rPr>
        <w:t xml:space="preserve"> J, </w:t>
      </w:r>
      <w:proofErr w:type="spellStart"/>
      <w:r w:rsidRPr="003D2BB8">
        <w:rPr>
          <w:rFonts w:eastAsia="Times New Roman"/>
          <w:bCs/>
          <w:sz w:val="24"/>
          <w:szCs w:val="24"/>
          <w:bdr w:val="none" w:sz="0" w:space="0" w:color="auto" w:frame="1"/>
          <w:lang w:eastAsia="en-AU"/>
        </w:rPr>
        <w:t>Orduña</w:t>
      </w:r>
      <w:proofErr w:type="spellEnd"/>
      <w:r w:rsidRPr="003D2BB8">
        <w:rPr>
          <w:rFonts w:eastAsia="Times New Roman"/>
          <w:bCs/>
          <w:sz w:val="24"/>
          <w:szCs w:val="24"/>
          <w:bdr w:val="none" w:sz="0" w:space="0" w:color="auto" w:frame="1"/>
          <w:lang w:eastAsia="en-AU"/>
        </w:rPr>
        <w:t xml:space="preserve"> A, et al. </w:t>
      </w:r>
      <w:proofErr w:type="spellStart"/>
      <w:r w:rsidRPr="003D2BB8">
        <w:rPr>
          <w:rFonts w:eastAsia="Times New Roman"/>
          <w:bCs/>
          <w:kern w:val="36"/>
          <w:sz w:val="24"/>
          <w:szCs w:val="24"/>
          <w:lang w:eastAsia="en-AU"/>
        </w:rPr>
        <w:t>Tumor</w:t>
      </w:r>
      <w:proofErr w:type="spellEnd"/>
      <w:r w:rsidRPr="003D2BB8">
        <w:rPr>
          <w:rFonts w:eastAsia="Times New Roman"/>
          <w:bCs/>
          <w:kern w:val="36"/>
          <w:sz w:val="24"/>
          <w:szCs w:val="24"/>
          <w:lang w:eastAsia="en-AU"/>
        </w:rPr>
        <w:t xml:space="preserve"> regression and survival after perioperative MAGIC-style chemotherapy in carcinoma of the stomach and gastroesophageal junction. </w:t>
      </w:r>
      <w:r w:rsidRPr="003D2BB8">
        <w:rPr>
          <w:rStyle w:val="Emphasis"/>
          <w:sz w:val="24"/>
          <w:szCs w:val="24"/>
          <w:bdr w:val="none" w:sz="0" w:space="0" w:color="auto" w:frame="1"/>
          <w:shd w:val="clear" w:color="auto" w:fill="FFFFFF"/>
        </w:rPr>
        <w:t>BMC Surgery</w:t>
      </w:r>
      <w:r w:rsidRPr="003D2BB8">
        <w:rPr>
          <w:rStyle w:val="apple-converted-space"/>
          <w:sz w:val="24"/>
          <w:szCs w:val="24"/>
          <w:shd w:val="clear" w:color="auto" w:fill="FFFFFF"/>
        </w:rPr>
        <w:t> </w:t>
      </w:r>
      <w:r w:rsidRPr="003D2BB8">
        <w:rPr>
          <w:sz w:val="24"/>
          <w:szCs w:val="24"/>
          <w:shd w:val="clear" w:color="auto" w:fill="FFFFFF"/>
        </w:rPr>
        <w:t>2015,</w:t>
      </w:r>
      <w:r w:rsidRPr="003D2BB8">
        <w:rPr>
          <w:rStyle w:val="apple-converted-space"/>
          <w:sz w:val="24"/>
          <w:szCs w:val="24"/>
          <w:shd w:val="clear" w:color="auto" w:fill="FFFFFF"/>
        </w:rPr>
        <w:t> </w:t>
      </w:r>
      <w:r w:rsidRPr="003D2BB8">
        <w:rPr>
          <w:rStyle w:val="Strong"/>
          <w:sz w:val="24"/>
          <w:szCs w:val="24"/>
          <w:bdr w:val="none" w:sz="0" w:space="0" w:color="auto" w:frame="1"/>
          <w:shd w:val="clear" w:color="auto" w:fill="FFFFFF"/>
        </w:rPr>
        <w:t>15</w:t>
      </w:r>
      <w:r w:rsidRPr="003D2BB8">
        <w:rPr>
          <w:b/>
          <w:sz w:val="24"/>
          <w:szCs w:val="24"/>
          <w:shd w:val="clear" w:color="auto" w:fill="FFFFFF"/>
        </w:rPr>
        <w:t>:</w:t>
      </w:r>
      <w:r w:rsidRPr="003D2BB8">
        <w:rPr>
          <w:sz w:val="24"/>
          <w:szCs w:val="24"/>
          <w:shd w:val="clear" w:color="auto" w:fill="FFFFFF"/>
        </w:rPr>
        <w:t>66 </w:t>
      </w:r>
    </w:p>
    <w:p w:rsidR="00CE0618" w:rsidRPr="003D2BB8" w:rsidRDefault="00CE0618" w:rsidP="00CE0618">
      <w:pPr>
        <w:rPr>
          <w:sz w:val="24"/>
          <w:szCs w:val="24"/>
        </w:rPr>
      </w:pPr>
      <w:proofErr w:type="spellStart"/>
      <w:r w:rsidRPr="003D2BB8">
        <w:rPr>
          <w:sz w:val="24"/>
          <w:szCs w:val="24"/>
        </w:rPr>
        <w:t>Ronellenfitsch</w:t>
      </w:r>
      <w:proofErr w:type="spellEnd"/>
      <w:r w:rsidRPr="003D2BB8">
        <w:rPr>
          <w:sz w:val="24"/>
          <w:szCs w:val="24"/>
        </w:rPr>
        <w:t xml:space="preserve"> U, </w:t>
      </w:r>
      <w:proofErr w:type="spellStart"/>
      <w:r w:rsidRPr="003D2BB8">
        <w:rPr>
          <w:sz w:val="24"/>
          <w:szCs w:val="24"/>
        </w:rPr>
        <w:t>Schwarzbach</w:t>
      </w:r>
      <w:proofErr w:type="spellEnd"/>
      <w:r w:rsidRPr="003D2BB8">
        <w:rPr>
          <w:sz w:val="24"/>
          <w:szCs w:val="24"/>
        </w:rPr>
        <w:t xml:space="preserve"> M, </w:t>
      </w:r>
      <w:proofErr w:type="spellStart"/>
      <w:r w:rsidRPr="003D2BB8">
        <w:rPr>
          <w:sz w:val="24"/>
          <w:szCs w:val="24"/>
        </w:rPr>
        <w:t>Hofheinz</w:t>
      </w:r>
      <w:proofErr w:type="spellEnd"/>
      <w:r w:rsidRPr="003D2BB8">
        <w:rPr>
          <w:sz w:val="24"/>
          <w:szCs w:val="24"/>
        </w:rPr>
        <w:t xml:space="preserve"> R, et al. (2013) Preoperative chemo(radio)therapy versus primary surgery for gastroesophageal adenocarcinoma: Systematic review with meta-analysis combining individual patient and aggregate data. </w:t>
      </w:r>
      <w:proofErr w:type="spellStart"/>
      <w:r w:rsidRPr="003D2BB8">
        <w:rPr>
          <w:sz w:val="24"/>
          <w:szCs w:val="24"/>
        </w:rPr>
        <w:t>Eur</w:t>
      </w:r>
      <w:proofErr w:type="spellEnd"/>
      <w:r w:rsidRPr="003D2BB8">
        <w:rPr>
          <w:sz w:val="24"/>
          <w:szCs w:val="24"/>
        </w:rPr>
        <w:t xml:space="preserve"> J Cancer 49:3149–3158.</w:t>
      </w:r>
    </w:p>
    <w:p w:rsidR="00CE0618" w:rsidRPr="003D2BB8" w:rsidRDefault="00CE0618" w:rsidP="00CE0618">
      <w:pPr>
        <w:rPr>
          <w:sz w:val="24"/>
          <w:szCs w:val="24"/>
        </w:rPr>
      </w:pPr>
      <w:proofErr w:type="spellStart"/>
      <w:r w:rsidRPr="003D2BB8">
        <w:rPr>
          <w:sz w:val="24"/>
          <w:szCs w:val="24"/>
        </w:rPr>
        <w:t>Guimbaud</w:t>
      </w:r>
      <w:proofErr w:type="spellEnd"/>
      <w:r w:rsidRPr="003D2BB8">
        <w:rPr>
          <w:sz w:val="24"/>
          <w:szCs w:val="24"/>
        </w:rPr>
        <w:t xml:space="preserve"> R, </w:t>
      </w:r>
      <w:proofErr w:type="spellStart"/>
      <w:r w:rsidRPr="003D2BB8">
        <w:rPr>
          <w:sz w:val="24"/>
          <w:szCs w:val="24"/>
        </w:rPr>
        <w:t>Louvet</w:t>
      </w:r>
      <w:proofErr w:type="spellEnd"/>
      <w:r w:rsidRPr="003D2BB8">
        <w:rPr>
          <w:sz w:val="24"/>
          <w:szCs w:val="24"/>
        </w:rPr>
        <w:t xml:space="preserve"> C, </w:t>
      </w:r>
      <w:proofErr w:type="spellStart"/>
      <w:r w:rsidRPr="003D2BB8">
        <w:rPr>
          <w:sz w:val="24"/>
          <w:szCs w:val="24"/>
        </w:rPr>
        <w:t>Ries</w:t>
      </w:r>
      <w:proofErr w:type="spellEnd"/>
      <w:r w:rsidRPr="003D2BB8">
        <w:rPr>
          <w:sz w:val="24"/>
          <w:szCs w:val="24"/>
        </w:rPr>
        <w:t xml:space="preserve"> P, et al. (2014) Prospective, randomized, </w:t>
      </w:r>
      <w:proofErr w:type="spellStart"/>
      <w:r w:rsidRPr="003D2BB8">
        <w:rPr>
          <w:sz w:val="24"/>
          <w:szCs w:val="24"/>
        </w:rPr>
        <w:t>multicenter</w:t>
      </w:r>
      <w:proofErr w:type="spellEnd"/>
      <w:r w:rsidRPr="003D2BB8">
        <w:rPr>
          <w:sz w:val="24"/>
          <w:szCs w:val="24"/>
        </w:rPr>
        <w:t xml:space="preserve"> phase III study of </w:t>
      </w:r>
      <w:proofErr w:type="spellStart"/>
      <w:r w:rsidRPr="003D2BB8">
        <w:rPr>
          <w:sz w:val="24"/>
          <w:szCs w:val="24"/>
        </w:rPr>
        <w:t>fluorourcil</w:t>
      </w:r>
      <w:proofErr w:type="spellEnd"/>
      <w:r w:rsidRPr="003D2BB8">
        <w:rPr>
          <w:sz w:val="24"/>
          <w:szCs w:val="24"/>
        </w:rPr>
        <w:t xml:space="preserve">, </w:t>
      </w:r>
      <w:proofErr w:type="spellStart"/>
      <w:r w:rsidRPr="003D2BB8">
        <w:rPr>
          <w:sz w:val="24"/>
          <w:szCs w:val="24"/>
        </w:rPr>
        <w:t>leucovorin</w:t>
      </w:r>
      <w:proofErr w:type="spellEnd"/>
      <w:r w:rsidRPr="003D2BB8">
        <w:rPr>
          <w:sz w:val="24"/>
          <w:szCs w:val="24"/>
        </w:rPr>
        <w:t xml:space="preserve">, and irinotecan versus </w:t>
      </w:r>
      <w:proofErr w:type="spellStart"/>
      <w:r w:rsidRPr="003D2BB8">
        <w:rPr>
          <w:sz w:val="24"/>
          <w:szCs w:val="24"/>
        </w:rPr>
        <w:t>epirubicin</w:t>
      </w:r>
      <w:proofErr w:type="spellEnd"/>
      <w:r w:rsidRPr="003D2BB8">
        <w:rPr>
          <w:sz w:val="24"/>
          <w:szCs w:val="24"/>
        </w:rPr>
        <w:t xml:space="preserve">, cisplatin, and </w:t>
      </w:r>
      <w:proofErr w:type="spellStart"/>
      <w:r w:rsidRPr="003D2BB8">
        <w:rPr>
          <w:sz w:val="24"/>
          <w:szCs w:val="24"/>
        </w:rPr>
        <w:t>capecitabine</w:t>
      </w:r>
      <w:proofErr w:type="spellEnd"/>
      <w:r w:rsidRPr="003D2BB8">
        <w:rPr>
          <w:sz w:val="24"/>
          <w:szCs w:val="24"/>
        </w:rPr>
        <w:t xml:space="preserve"> in advanced gastric adenocarcinoma fluorouracil: A French Intergroup (Federation Francophone de </w:t>
      </w:r>
      <w:proofErr w:type="spellStart"/>
      <w:r w:rsidRPr="003D2BB8">
        <w:rPr>
          <w:sz w:val="24"/>
          <w:szCs w:val="24"/>
        </w:rPr>
        <w:t>Cancerologie</w:t>
      </w:r>
      <w:proofErr w:type="spellEnd"/>
      <w:r w:rsidRPr="003D2BB8">
        <w:rPr>
          <w:sz w:val="24"/>
          <w:szCs w:val="24"/>
        </w:rPr>
        <w:t xml:space="preserve"> Digestive, Federation </w:t>
      </w:r>
      <w:proofErr w:type="spellStart"/>
      <w:r w:rsidRPr="003D2BB8">
        <w:rPr>
          <w:sz w:val="24"/>
          <w:szCs w:val="24"/>
        </w:rPr>
        <w:t>Nationale</w:t>
      </w:r>
      <w:proofErr w:type="spellEnd"/>
      <w:r w:rsidRPr="003D2BB8">
        <w:rPr>
          <w:sz w:val="24"/>
          <w:szCs w:val="24"/>
        </w:rPr>
        <w:t xml:space="preserve"> des Centres de </w:t>
      </w:r>
      <w:proofErr w:type="spellStart"/>
      <w:r w:rsidRPr="003D2BB8">
        <w:rPr>
          <w:sz w:val="24"/>
          <w:szCs w:val="24"/>
        </w:rPr>
        <w:t>Lutte</w:t>
      </w:r>
      <w:proofErr w:type="spellEnd"/>
      <w:r w:rsidRPr="003D2BB8">
        <w:rPr>
          <w:sz w:val="24"/>
          <w:szCs w:val="24"/>
        </w:rPr>
        <w:t xml:space="preserve"> </w:t>
      </w:r>
      <w:proofErr w:type="spellStart"/>
      <w:r w:rsidRPr="003D2BB8">
        <w:rPr>
          <w:sz w:val="24"/>
          <w:szCs w:val="24"/>
        </w:rPr>
        <w:t>Contre</w:t>
      </w:r>
      <w:proofErr w:type="spellEnd"/>
      <w:r w:rsidRPr="003D2BB8">
        <w:rPr>
          <w:sz w:val="24"/>
          <w:szCs w:val="24"/>
        </w:rPr>
        <w:t xml:space="preserve"> le Cancer, and </w:t>
      </w:r>
      <w:proofErr w:type="spellStart"/>
      <w:r w:rsidRPr="003D2BB8">
        <w:rPr>
          <w:sz w:val="24"/>
          <w:szCs w:val="24"/>
        </w:rPr>
        <w:t>Groupe</w:t>
      </w:r>
      <w:proofErr w:type="spellEnd"/>
      <w:r w:rsidRPr="003D2BB8">
        <w:rPr>
          <w:sz w:val="24"/>
          <w:szCs w:val="24"/>
        </w:rPr>
        <w:t xml:space="preserve"> </w:t>
      </w:r>
      <w:proofErr w:type="spellStart"/>
      <w:r w:rsidRPr="003D2BB8">
        <w:rPr>
          <w:sz w:val="24"/>
          <w:szCs w:val="24"/>
        </w:rPr>
        <w:t>Cooperateur</w:t>
      </w:r>
      <w:proofErr w:type="spellEnd"/>
      <w:r w:rsidRPr="003D2BB8">
        <w:rPr>
          <w:sz w:val="24"/>
          <w:szCs w:val="24"/>
        </w:rPr>
        <w:t xml:space="preserve"> </w:t>
      </w:r>
      <w:proofErr w:type="spellStart"/>
      <w:r w:rsidRPr="003D2BB8">
        <w:rPr>
          <w:sz w:val="24"/>
          <w:szCs w:val="24"/>
        </w:rPr>
        <w:t>Multidisciplinaire</w:t>
      </w:r>
      <w:proofErr w:type="spellEnd"/>
      <w:r w:rsidRPr="003D2BB8">
        <w:rPr>
          <w:sz w:val="24"/>
          <w:szCs w:val="24"/>
        </w:rPr>
        <w:t xml:space="preserve"> </w:t>
      </w:r>
      <w:proofErr w:type="spellStart"/>
      <w:r w:rsidRPr="003D2BB8">
        <w:rPr>
          <w:sz w:val="24"/>
          <w:szCs w:val="24"/>
        </w:rPr>
        <w:t>en</w:t>
      </w:r>
      <w:proofErr w:type="spellEnd"/>
      <w:r w:rsidRPr="003D2BB8">
        <w:rPr>
          <w:sz w:val="24"/>
          <w:szCs w:val="24"/>
        </w:rPr>
        <w:t xml:space="preserve"> </w:t>
      </w:r>
      <w:proofErr w:type="spellStart"/>
      <w:r w:rsidRPr="003D2BB8">
        <w:rPr>
          <w:sz w:val="24"/>
          <w:szCs w:val="24"/>
        </w:rPr>
        <w:t>Oncologie</w:t>
      </w:r>
      <w:proofErr w:type="spellEnd"/>
      <w:r w:rsidRPr="003D2BB8">
        <w:rPr>
          <w:sz w:val="24"/>
          <w:szCs w:val="24"/>
        </w:rPr>
        <w:t xml:space="preserve">) study. J </w:t>
      </w:r>
      <w:proofErr w:type="spellStart"/>
      <w:r w:rsidRPr="003D2BB8">
        <w:rPr>
          <w:sz w:val="24"/>
          <w:szCs w:val="24"/>
        </w:rPr>
        <w:t>Clin</w:t>
      </w:r>
      <w:proofErr w:type="spellEnd"/>
      <w:r w:rsidRPr="003D2BB8">
        <w:rPr>
          <w:sz w:val="24"/>
          <w:szCs w:val="24"/>
        </w:rPr>
        <w:t xml:space="preserve"> </w:t>
      </w:r>
      <w:proofErr w:type="spellStart"/>
      <w:r w:rsidRPr="003D2BB8">
        <w:rPr>
          <w:sz w:val="24"/>
          <w:szCs w:val="24"/>
        </w:rPr>
        <w:t>Oncol</w:t>
      </w:r>
      <w:proofErr w:type="spellEnd"/>
      <w:r w:rsidRPr="003D2BB8">
        <w:rPr>
          <w:sz w:val="24"/>
          <w:szCs w:val="24"/>
        </w:rPr>
        <w:t xml:space="preserve"> 32:3520–3526.</w:t>
      </w:r>
    </w:p>
    <w:p w:rsidR="00CE0618" w:rsidRPr="003D2BB8" w:rsidRDefault="00CE0618" w:rsidP="00CE0618">
      <w:pPr>
        <w:rPr>
          <w:sz w:val="24"/>
          <w:szCs w:val="24"/>
        </w:rPr>
      </w:pPr>
      <w:r w:rsidRPr="003D2BB8">
        <w:rPr>
          <w:sz w:val="24"/>
          <w:szCs w:val="24"/>
        </w:rPr>
        <w:t xml:space="preserve">Cunningham D, Starling N, Rao S, et al. (2008) </w:t>
      </w:r>
      <w:proofErr w:type="spellStart"/>
      <w:r w:rsidRPr="003D2BB8">
        <w:rPr>
          <w:sz w:val="24"/>
          <w:szCs w:val="24"/>
        </w:rPr>
        <w:t>Capecitabine</w:t>
      </w:r>
      <w:proofErr w:type="spellEnd"/>
      <w:r w:rsidRPr="003D2BB8">
        <w:rPr>
          <w:sz w:val="24"/>
          <w:szCs w:val="24"/>
        </w:rPr>
        <w:t xml:space="preserve"> and </w:t>
      </w:r>
      <w:proofErr w:type="spellStart"/>
      <w:r w:rsidRPr="003D2BB8">
        <w:rPr>
          <w:sz w:val="24"/>
          <w:szCs w:val="24"/>
        </w:rPr>
        <w:t>oxaliplatin</w:t>
      </w:r>
      <w:proofErr w:type="spellEnd"/>
      <w:r w:rsidRPr="003D2BB8">
        <w:rPr>
          <w:sz w:val="24"/>
          <w:szCs w:val="24"/>
        </w:rPr>
        <w:t xml:space="preserve"> for advanced </w:t>
      </w:r>
      <w:proofErr w:type="spellStart"/>
      <w:r w:rsidRPr="003D2BB8">
        <w:rPr>
          <w:sz w:val="24"/>
          <w:szCs w:val="24"/>
        </w:rPr>
        <w:t>esophagogastric</w:t>
      </w:r>
      <w:proofErr w:type="spellEnd"/>
      <w:r w:rsidRPr="003D2BB8">
        <w:rPr>
          <w:sz w:val="24"/>
          <w:szCs w:val="24"/>
        </w:rPr>
        <w:t xml:space="preserve"> cancer. N </w:t>
      </w:r>
      <w:proofErr w:type="spellStart"/>
      <w:r w:rsidRPr="003D2BB8">
        <w:rPr>
          <w:sz w:val="24"/>
          <w:szCs w:val="24"/>
        </w:rPr>
        <w:t>Engl</w:t>
      </w:r>
      <w:proofErr w:type="spellEnd"/>
      <w:r w:rsidRPr="003D2BB8">
        <w:rPr>
          <w:sz w:val="24"/>
          <w:szCs w:val="24"/>
        </w:rPr>
        <w:t xml:space="preserve"> J Med 358:36–46.</w:t>
      </w:r>
    </w:p>
    <w:p w:rsidR="00CE0618" w:rsidRPr="003D2BB8" w:rsidRDefault="00CE0618" w:rsidP="00CE0618">
      <w:pPr>
        <w:rPr>
          <w:sz w:val="24"/>
          <w:szCs w:val="24"/>
        </w:rPr>
      </w:pPr>
      <w:proofErr w:type="spellStart"/>
      <w:r w:rsidRPr="003D2BB8">
        <w:rPr>
          <w:sz w:val="24"/>
          <w:szCs w:val="24"/>
        </w:rPr>
        <w:t>Hironaka</w:t>
      </w:r>
      <w:proofErr w:type="spellEnd"/>
      <w:r w:rsidRPr="003D2BB8">
        <w:rPr>
          <w:sz w:val="24"/>
          <w:szCs w:val="24"/>
        </w:rPr>
        <w:t xml:space="preserve"> S, Ueda S, </w:t>
      </w:r>
      <w:proofErr w:type="spellStart"/>
      <w:r w:rsidRPr="003D2BB8">
        <w:rPr>
          <w:sz w:val="24"/>
          <w:szCs w:val="24"/>
        </w:rPr>
        <w:t>Yasui</w:t>
      </w:r>
      <w:proofErr w:type="spellEnd"/>
      <w:r w:rsidRPr="003D2BB8">
        <w:rPr>
          <w:sz w:val="24"/>
          <w:szCs w:val="24"/>
        </w:rPr>
        <w:t xml:space="preserve"> H, et al. Randomized, Open-Label, Phase III Study Comparing Irinotecan With Paclitaxel in Patients With Advanced Gastric Cancer Without Severe Peritoneal Metastasis After Failure of Prior Combination Chemotherapy Using </w:t>
      </w:r>
      <w:proofErr w:type="spellStart"/>
      <w:r w:rsidRPr="003D2BB8">
        <w:rPr>
          <w:sz w:val="24"/>
          <w:szCs w:val="24"/>
        </w:rPr>
        <w:t>Fluoropyrimidine</w:t>
      </w:r>
      <w:proofErr w:type="spellEnd"/>
      <w:r w:rsidRPr="003D2BB8">
        <w:rPr>
          <w:sz w:val="24"/>
          <w:szCs w:val="24"/>
        </w:rPr>
        <w:t xml:space="preserve"> Plus Platinum: WJOG 4007 Trial JCO 2013 31: 4438-4444</w:t>
      </w:r>
    </w:p>
    <w:p w:rsidR="00CE0618" w:rsidRPr="003D2BB8" w:rsidRDefault="00CE0618" w:rsidP="00CE0618">
      <w:pPr>
        <w:rPr>
          <w:sz w:val="24"/>
          <w:szCs w:val="24"/>
        </w:rPr>
      </w:pPr>
      <w:r w:rsidRPr="003D2BB8">
        <w:rPr>
          <w:rFonts w:cs="Arial"/>
          <w:color w:val="000000"/>
          <w:sz w:val="24"/>
          <w:szCs w:val="24"/>
          <w:shd w:val="clear" w:color="auto" w:fill="FFFFFF"/>
        </w:rPr>
        <w:t xml:space="preserve">Bang YJ, Kim YW, Yang HK, et al. Adjuvant </w:t>
      </w:r>
      <w:proofErr w:type="spellStart"/>
      <w:r w:rsidRPr="003D2BB8">
        <w:rPr>
          <w:rFonts w:cs="Arial"/>
          <w:color w:val="000000"/>
          <w:sz w:val="24"/>
          <w:szCs w:val="24"/>
          <w:shd w:val="clear" w:color="auto" w:fill="FFFFFF"/>
        </w:rPr>
        <w:t>capecitabine</w:t>
      </w:r>
      <w:proofErr w:type="spellEnd"/>
      <w:r w:rsidRPr="003D2BB8">
        <w:rPr>
          <w:rFonts w:cs="Arial"/>
          <w:color w:val="000000"/>
          <w:sz w:val="24"/>
          <w:szCs w:val="24"/>
          <w:shd w:val="clear" w:color="auto" w:fill="FFFFFF"/>
        </w:rPr>
        <w:t xml:space="preserve"> and </w:t>
      </w:r>
      <w:proofErr w:type="spellStart"/>
      <w:r w:rsidRPr="003D2BB8">
        <w:rPr>
          <w:rFonts w:cs="Arial"/>
          <w:color w:val="000000"/>
          <w:sz w:val="24"/>
          <w:szCs w:val="24"/>
          <w:shd w:val="clear" w:color="auto" w:fill="FFFFFF"/>
        </w:rPr>
        <w:t>oxaliplatin</w:t>
      </w:r>
      <w:proofErr w:type="spellEnd"/>
      <w:r w:rsidRPr="003D2BB8">
        <w:rPr>
          <w:rFonts w:cs="Arial"/>
          <w:color w:val="000000"/>
          <w:sz w:val="24"/>
          <w:szCs w:val="24"/>
          <w:shd w:val="clear" w:color="auto" w:fill="FFFFFF"/>
        </w:rPr>
        <w:t xml:space="preserve"> for gastric cancer after D2 gastrectomy (CLASSIC): a phase 3 open-label, randomised controlled </w:t>
      </w:r>
      <w:proofErr w:type="gramStart"/>
      <w:r w:rsidRPr="003D2BB8">
        <w:rPr>
          <w:rFonts w:cs="Arial"/>
          <w:color w:val="000000"/>
          <w:sz w:val="24"/>
          <w:szCs w:val="24"/>
          <w:shd w:val="clear" w:color="auto" w:fill="FFFFFF"/>
        </w:rPr>
        <w:t>trial</w:t>
      </w:r>
      <w:proofErr w:type="gramEnd"/>
      <w:r w:rsidRPr="003D2BB8">
        <w:rPr>
          <w:rFonts w:cs="Arial"/>
          <w:color w:val="000000"/>
          <w:sz w:val="24"/>
          <w:szCs w:val="24"/>
          <w:shd w:val="clear" w:color="auto" w:fill="FFFFFF"/>
        </w:rPr>
        <w:t>. Lancet 2012 Jan 28; 379 (9813): 315-21</w:t>
      </w:r>
    </w:p>
    <w:p w:rsidR="00CE0618" w:rsidRPr="003D2BB8" w:rsidRDefault="00CE0618" w:rsidP="00CE0618">
      <w:pPr>
        <w:rPr>
          <w:rFonts w:cs="Arial"/>
          <w:color w:val="000000"/>
          <w:sz w:val="24"/>
          <w:szCs w:val="24"/>
          <w:shd w:val="clear" w:color="auto" w:fill="FFFFFF"/>
        </w:rPr>
      </w:pPr>
      <w:proofErr w:type="spellStart"/>
      <w:r w:rsidRPr="003D2BB8">
        <w:rPr>
          <w:rFonts w:cs="Arial"/>
          <w:color w:val="000000"/>
          <w:sz w:val="24"/>
          <w:szCs w:val="24"/>
          <w:shd w:val="clear" w:color="auto" w:fill="FFFFFF"/>
        </w:rPr>
        <w:lastRenderedPageBreak/>
        <w:t>Thuss</w:t>
      </w:r>
      <w:proofErr w:type="spellEnd"/>
      <w:r w:rsidRPr="003D2BB8">
        <w:rPr>
          <w:rFonts w:cs="Arial"/>
          <w:color w:val="000000"/>
          <w:sz w:val="24"/>
          <w:szCs w:val="24"/>
          <w:shd w:val="clear" w:color="auto" w:fill="FFFFFF"/>
        </w:rPr>
        <w:t xml:space="preserve">-Patience PC, </w:t>
      </w:r>
      <w:proofErr w:type="spellStart"/>
      <w:r w:rsidRPr="003D2BB8">
        <w:rPr>
          <w:rFonts w:cs="Arial"/>
          <w:color w:val="000000"/>
          <w:sz w:val="24"/>
          <w:szCs w:val="24"/>
          <w:shd w:val="clear" w:color="auto" w:fill="FFFFFF"/>
        </w:rPr>
        <w:t>Kretzschmar</w:t>
      </w:r>
      <w:proofErr w:type="spellEnd"/>
      <w:r w:rsidRPr="003D2BB8">
        <w:rPr>
          <w:rFonts w:cs="Arial"/>
          <w:color w:val="000000"/>
          <w:sz w:val="24"/>
          <w:szCs w:val="24"/>
          <w:shd w:val="clear" w:color="auto" w:fill="FFFFFF"/>
        </w:rPr>
        <w:t xml:space="preserve"> A, </w:t>
      </w:r>
      <w:proofErr w:type="spellStart"/>
      <w:r w:rsidRPr="003D2BB8">
        <w:rPr>
          <w:rFonts w:cs="Arial"/>
          <w:color w:val="000000"/>
          <w:sz w:val="24"/>
          <w:szCs w:val="24"/>
          <w:shd w:val="clear" w:color="auto" w:fill="FFFFFF"/>
        </w:rPr>
        <w:t>Bichev</w:t>
      </w:r>
      <w:proofErr w:type="spellEnd"/>
      <w:r w:rsidRPr="003D2BB8">
        <w:rPr>
          <w:rFonts w:cs="Arial"/>
          <w:color w:val="000000"/>
          <w:sz w:val="24"/>
          <w:szCs w:val="24"/>
          <w:shd w:val="clear" w:color="auto" w:fill="FFFFFF"/>
        </w:rPr>
        <w:t xml:space="preserve"> D, et al: Survival advantage for irinotecan versus best supportive care as second-line chemotherapy in gastric cancer: A randomised phase III study of the </w:t>
      </w:r>
      <w:proofErr w:type="spellStart"/>
      <w:r w:rsidRPr="003D2BB8">
        <w:rPr>
          <w:rFonts w:cs="Arial"/>
          <w:color w:val="000000"/>
          <w:sz w:val="24"/>
          <w:szCs w:val="24"/>
          <w:shd w:val="clear" w:color="auto" w:fill="FFFFFF"/>
        </w:rPr>
        <w:t>Arbeitsgemeinschaft</w:t>
      </w:r>
      <w:proofErr w:type="spellEnd"/>
      <w:r w:rsidRPr="003D2BB8">
        <w:rPr>
          <w:rFonts w:cs="Arial"/>
          <w:color w:val="000000"/>
          <w:sz w:val="24"/>
          <w:szCs w:val="24"/>
          <w:shd w:val="clear" w:color="auto" w:fill="FFFFFF"/>
        </w:rPr>
        <w:t xml:space="preserve"> </w:t>
      </w:r>
      <w:proofErr w:type="spellStart"/>
      <w:r w:rsidRPr="003D2BB8">
        <w:rPr>
          <w:rFonts w:cs="Arial"/>
          <w:color w:val="000000"/>
          <w:sz w:val="24"/>
          <w:szCs w:val="24"/>
          <w:shd w:val="clear" w:color="auto" w:fill="FFFFFF"/>
        </w:rPr>
        <w:t>Internistische</w:t>
      </w:r>
      <w:proofErr w:type="spellEnd"/>
      <w:r w:rsidRPr="003D2BB8">
        <w:rPr>
          <w:rFonts w:cs="Arial"/>
          <w:color w:val="000000"/>
          <w:sz w:val="24"/>
          <w:szCs w:val="24"/>
          <w:shd w:val="clear" w:color="auto" w:fill="FFFFFF"/>
        </w:rPr>
        <w:t xml:space="preserve"> </w:t>
      </w:r>
      <w:proofErr w:type="spellStart"/>
      <w:r w:rsidRPr="003D2BB8">
        <w:rPr>
          <w:rFonts w:cs="Arial"/>
          <w:color w:val="000000"/>
          <w:sz w:val="24"/>
          <w:szCs w:val="24"/>
          <w:shd w:val="clear" w:color="auto" w:fill="FFFFFF"/>
        </w:rPr>
        <w:t>Onkologie</w:t>
      </w:r>
      <w:proofErr w:type="spellEnd"/>
      <w:r w:rsidRPr="003D2BB8">
        <w:rPr>
          <w:rFonts w:cs="Arial"/>
          <w:color w:val="000000"/>
          <w:sz w:val="24"/>
          <w:szCs w:val="24"/>
          <w:shd w:val="clear" w:color="auto" w:fill="FFFFFF"/>
        </w:rPr>
        <w:t xml:space="preserve"> (AIO). </w:t>
      </w:r>
      <w:proofErr w:type="spellStart"/>
      <w:r w:rsidRPr="003D2BB8">
        <w:rPr>
          <w:rFonts w:cs="Arial"/>
          <w:color w:val="000000"/>
          <w:sz w:val="24"/>
          <w:szCs w:val="24"/>
          <w:shd w:val="clear" w:color="auto" w:fill="FFFFFF"/>
        </w:rPr>
        <w:t>Eur</w:t>
      </w:r>
      <w:proofErr w:type="spellEnd"/>
      <w:r w:rsidRPr="003D2BB8">
        <w:rPr>
          <w:rFonts w:cs="Arial"/>
          <w:color w:val="000000"/>
          <w:sz w:val="24"/>
          <w:szCs w:val="24"/>
          <w:shd w:val="clear" w:color="auto" w:fill="FFFFFF"/>
        </w:rPr>
        <w:t xml:space="preserve"> J Cancer 47:2306-2314, 2011</w:t>
      </w:r>
    </w:p>
    <w:p w:rsidR="00CE0618" w:rsidRPr="003D2BB8" w:rsidRDefault="00CE0618" w:rsidP="00CE0618">
      <w:pPr>
        <w:rPr>
          <w:rStyle w:val="apple-converted-space"/>
          <w:rFonts w:cs="Arial"/>
          <w:color w:val="000000"/>
          <w:sz w:val="24"/>
          <w:szCs w:val="24"/>
          <w:shd w:val="clear" w:color="auto" w:fill="FFFFFF"/>
        </w:rPr>
      </w:pPr>
      <w:proofErr w:type="gramStart"/>
      <w:r w:rsidRPr="003D2BB8">
        <w:rPr>
          <w:rFonts w:cs="Arial"/>
          <w:color w:val="000000"/>
          <w:sz w:val="24"/>
          <w:szCs w:val="24"/>
          <w:shd w:val="clear" w:color="auto" w:fill="FFFFFF"/>
        </w:rPr>
        <w:t xml:space="preserve">Conroy T, </w:t>
      </w:r>
      <w:proofErr w:type="spellStart"/>
      <w:r w:rsidRPr="003D2BB8">
        <w:rPr>
          <w:rFonts w:cs="Arial"/>
          <w:color w:val="000000"/>
          <w:sz w:val="24"/>
          <w:szCs w:val="24"/>
          <w:shd w:val="clear" w:color="auto" w:fill="FFFFFF"/>
        </w:rPr>
        <w:t>Desseigne</w:t>
      </w:r>
      <w:proofErr w:type="spellEnd"/>
      <w:r w:rsidRPr="003D2BB8">
        <w:rPr>
          <w:rFonts w:cs="Arial"/>
          <w:color w:val="000000"/>
          <w:sz w:val="24"/>
          <w:szCs w:val="24"/>
          <w:shd w:val="clear" w:color="auto" w:fill="FFFFFF"/>
        </w:rPr>
        <w:t xml:space="preserve"> F, </w:t>
      </w:r>
      <w:proofErr w:type="spellStart"/>
      <w:r w:rsidRPr="003D2BB8">
        <w:rPr>
          <w:rFonts w:cs="Arial"/>
          <w:color w:val="000000"/>
          <w:sz w:val="24"/>
          <w:szCs w:val="24"/>
          <w:shd w:val="clear" w:color="auto" w:fill="FFFFFF"/>
        </w:rPr>
        <w:t>Ychou</w:t>
      </w:r>
      <w:proofErr w:type="spellEnd"/>
      <w:r w:rsidRPr="003D2BB8">
        <w:rPr>
          <w:rFonts w:cs="Arial"/>
          <w:color w:val="000000"/>
          <w:sz w:val="24"/>
          <w:szCs w:val="24"/>
          <w:shd w:val="clear" w:color="auto" w:fill="FFFFFF"/>
        </w:rPr>
        <w:t xml:space="preserve"> M,</w:t>
      </w:r>
      <w:r w:rsidRPr="003D2BB8">
        <w:rPr>
          <w:rStyle w:val="apple-converted-space"/>
          <w:rFonts w:cs="Arial"/>
          <w:color w:val="000000"/>
          <w:sz w:val="24"/>
          <w:szCs w:val="24"/>
          <w:shd w:val="clear" w:color="auto" w:fill="FFFFFF"/>
        </w:rPr>
        <w:t> et al. FOLFIRINOX versus gemcitabine for metastatic pancreatic cancer.</w:t>
      </w:r>
      <w:proofErr w:type="gramEnd"/>
      <w:r w:rsidRPr="003D2BB8">
        <w:rPr>
          <w:rStyle w:val="apple-converted-space"/>
          <w:rFonts w:cs="Arial"/>
          <w:color w:val="000000"/>
          <w:sz w:val="24"/>
          <w:szCs w:val="24"/>
          <w:shd w:val="clear" w:color="auto" w:fill="FFFFFF"/>
        </w:rPr>
        <w:t xml:space="preserve"> N </w:t>
      </w:r>
      <w:proofErr w:type="spellStart"/>
      <w:r w:rsidRPr="003D2BB8">
        <w:rPr>
          <w:rStyle w:val="apple-converted-space"/>
          <w:rFonts w:cs="Arial"/>
          <w:color w:val="000000"/>
          <w:sz w:val="24"/>
          <w:szCs w:val="24"/>
          <w:shd w:val="clear" w:color="auto" w:fill="FFFFFF"/>
        </w:rPr>
        <w:t>Engl</w:t>
      </w:r>
      <w:proofErr w:type="spellEnd"/>
      <w:r w:rsidRPr="003D2BB8">
        <w:rPr>
          <w:rStyle w:val="apple-converted-space"/>
          <w:rFonts w:cs="Arial"/>
          <w:color w:val="000000"/>
          <w:sz w:val="24"/>
          <w:szCs w:val="24"/>
          <w:shd w:val="clear" w:color="auto" w:fill="FFFFFF"/>
        </w:rPr>
        <w:t xml:space="preserve"> J Med. 2011 May 12; 364(19):1817-25</w:t>
      </w:r>
    </w:p>
    <w:p w:rsidR="00CE0618" w:rsidRPr="003D2BB8" w:rsidRDefault="00CE0618" w:rsidP="00CE0618">
      <w:pPr>
        <w:rPr>
          <w:sz w:val="24"/>
          <w:szCs w:val="24"/>
        </w:rPr>
      </w:pPr>
      <w:proofErr w:type="spellStart"/>
      <w:r w:rsidRPr="003D2BB8">
        <w:rPr>
          <w:sz w:val="24"/>
          <w:szCs w:val="24"/>
        </w:rPr>
        <w:t>Nitsche</w:t>
      </w:r>
      <w:proofErr w:type="spellEnd"/>
      <w:r w:rsidRPr="003D2BB8">
        <w:rPr>
          <w:sz w:val="24"/>
          <w:szCs w:val="24"/>
        </w:rPr>
        <w:t xml:space="preserve"> U, Wenzel P, </w:t>
      </w:r>
      <w:proofErr w:type="spellStart"/>
      <w:r w:rsidRPr="003D2BB8">
        <w:rPr>
          <w:sz w:val="24"/>
          <w:szCs w:val="24"/>
        </w:rPr>
        <w:t>Siveke</w:t>
      </w:r>
      <w:proofErr w:type="spellEnd"/>
      <w:r w:rsidRPr="003D2BB8">
        <w:rPr>
          <w:sz w:val="24"/>
          <w:szCs w:val="24"/>
        </w:rPr>
        <w:t xml:space="preserve"> JT, et al. </w:t>
      </w:r>
      <w:proofErr w:type="spellStart"/>
      <w:r w:rsidRPr="003D2BB8">
        <w:rPr>
          <w:sz w:val="24"/>
          <w:szCs w:val="24"/>
        </w:rPr>
        <w:t>Resectability</w:t>
      </w:r>
      <w:proofErr w:type="spellEnd"/>
      <w:r w:rsidRPr="003D2BB8">
        <w:rPr>
          <w:sz w:val="24"/>
          <w:szCs w:val="24"/>
        </w:rPr>
        <w:t xml:space="preserve"> </w:t>
      </w:r>
      <w:proofErr w:type="gramStart"/>
      <w:r w:rsidRPr="003D2BB8">
        <w:rPr>
          <w:sz w:val="24"/>
          <w:szCs w:val="24"/>
        </w:rPr>
        <w:t>After</w:t>
      </w:r>
      <w:proofErr w:type="gramEnd"/>
      <w:r w:rsidRPr="003D2BB8">
        <w:rPr>
          <w:sz w:val="24"/>
          <w:szCs w:val="24"/>
        </w:rPr>
        <w:t xml:space="preserve"> First-Line FOLFIRINOX in Initially Unresectable Locally Advanced Pancreatic Cancer: A Single-</w:t>
      </w:r>
      <w:proofErr w:type="spellStart"/>
      <w:r w:rsidRPr="003D2BB8">
        <w:rPr>
          <w:sz w:val="24"/>
          <w:szCs w:val="24"/>
        </w:rPr>
        <w:t>Center</w:t>
      </w:r>
      <w:proofErr w:type="spellEnd"/>
      <w:r w:rsidRPr="003D2BB8">
        <w:rPr>
          <w:sz w:val="24"/>
          <w:szCs w:val="24"/>
        </w:rPr>
        <w:t xml:space="preserve"> Experience. Ann </w:t>
      </w:r>
      <w:proofErr w:type="spellStart"/>
      <w:r w:rsidRPr="003D2BB8">
        <w:rPr>
          <w:sz w:val="24"/>
          <w:szCs w:val="24"/>
        </w:rPr>
        <w:t>Surg</w:t>
      </w:r>
      <w:proofErr w:type="spellEnd"/>
      <w:r w:rsidRPr="003D2BB8">
        <w:rPr>
          <w:sz w:val="24"/>
          <w:szCs w:val="24"/>
        </w:rPr>
        <w:t xml:space="preserve"> </w:t>
      </w:r>
      <w:proofErr w:type="spellStart"/>
      <w:r w:rsidRPr="003D2BB8">
        <w:rPr>
          <w:sz w:val="24"/>
          <w:szCs w:val="24"/>
        </w:rPr>
        <w:t>Oncol</w:t>
      </w:r>
      <w:proofErr w:type="spellEnd"/>
      <w:r w:rsidRPr="003D2BB8">
        <w:rPr>
          <w:sz w:val="24"/>
          <w:szCs w:val="24"/>
        </w:rPr>
        <w:t>. 2015 Sep 8</w:t>
      </w:r>
    </w:p>
    <w:p w:rsidR="00CE0618" w:rsidRPr="003D2BB8" w:rsidRDefault="00CE0618" w:rsidP="00CE0618">
      <w:pPr>
        <w:rPr>
          <w:sz w:val="24"/>
          <w:szCs w:val="24"/>
        </w:rPr>
      </w:pPr>
      <w:proofErr w:type="gramStart"/>
      <w:r w:rsidRPr="003D2BB8">
        <w:rPr>
          <w:sz w:val="24"/>
          <w:szCs w:val="24"/>
        </w:rPr>
        <w:t xml:space="preserve">Lockhart AC, </w:t>
      </w:r>
      <w:proofErr w:type="spellStart"/>
      <w:r w:rsidRPr="003D2BB8">
        <w:rPr>
          <w:sz w:val="24"/>
          <w:szCs w:val="24"/>
        </w:rPr>
        <w:t>Krajewski</w:t>
      </w:r>
      <w:proofErr w:type="spellEnd"/>
      <w:r w:rsidRPr="003D2BB8">
        <w:rPr>
          <w:sz w:val="24"/>
          <w:szCs w:val="24"/>
        </w:rPr>
        <w:t xml:space="preserve"> KA, Wang-Gillam A, et al. FOLFIRINOX as first-line therapy in patients with metastatic gastroesophageal cancers (GEC).</w:t>
      </w:r>
      <w:proofErr w:type="gramEnd"/>
      <w:r w:rsidRPr="003D2BB8">
        <w:rPr>
          <w:sz w:val="24"/>
          <w:szCs w:val="24"/>
        </w:rPr>
        <w:t xml:space="preserve">  J </w:t>
      </w:r>
      <w:proofErr w:type="spellStart"/>
      <w:r w:rsidRPr="003D2BB8">
        <w:rPr>
          <w:sz w:val="24"/>
          <w:szCs w:val="24"/>
        </w:rPr>
        <w:t>Clin</w:t>
      </w:r>
      <w:proofErr w:type="spellEnd"/>
      <w:r w:rsidRPr="003D2BB8">
        <w:rPr>
          <w:sz w:val="24"/>
          <w:szCs w:val="24"/>
        </w:rPr>
        <w:t xml:space="preserve"> </w:t>
      </w:r>
      <w:proofErr w:type="spellStart"/>
      <w:r w:rsidRPr="003D2BB8">
        <w:rPr>
          <w:sz w:val="24"/>
          <w:szCs w:val="24"/>
        </w:rPr>
        <w:t>Oncol</w:t>
      </w:r>
      <w:proofErr w:type="spellEnd"/>
      <w:r w:rsidRPr="003D2BB8">
        <w:rPr>
          <w:sz w:val="24"/>
          <w:szCs w:val="24"/>
        </w:rPr>
        <w:t xml:space="preserve"> 33, 2015 (</w:t>
      </w:r>
      <w:proofErr w:type="spellStart"/>
      <w:r w:rsidRPr="003D2BB8">
        <w:rPr>
          <w:sz w:val="24"/>
          <w:szCs w:val="24"/>
        </w:rPr>
        <w:t>suppl</w:t>
      </w:r>
      <w:proofErr w:type="spellEnd"/>
      <w:r w:rsidRPr="003D2BB8">
        <w:rPr>
          <w:sz w:val="24"/>
          <w:szCs w:val="24"/>
        </w:rPr>
        <w:t xml:space="preserve"> 3; </w:t>
      </w:r>
      <w:proofErr w:type="spellStart"/>
      <w:r w:rsidRPr="003D2BB8">
        <w:rPr>
          <w:sz w:val="24"/>
          <w:szCs w:val="24"/>
        </w:rPr>
        <w:t>abstr</w:t>
      </w:r>
      <w:proofErr w:type="spellEnd"/>
      <w:r w:rsidRPr="003D2BB8">
        <w:rPr>
          <w:sz w:val="24"/>
          <w:szCs w:val="24"/>
        </w:rPr>
        <w:t xml:space="preserve"> 177)</w:t>
      </w:r>
    </w:p>
    <w:p w:rsidR="00CE0618" w:rsidRPr="003D2BB8" w:rsidRDefault="00CE0618" w:rsidP="00CE0618">
      <w:pPr>
        <w:rPr>
          <w:sz w:val="24"/>
          <w:szCs w:val="24"/>
        </w:rPr>
      </w:pPr>
      <w:proofErr w:type="gramStart"/>
      <w:r w:rsidRPr="003D2BB8">
        <w:rPr>
          <w:sz w:val="24"/>
          <w:szCs w:val="24"/>
        </w:rPr>
        <w:t xml:space="preserve">Falcone A, Ricci S, Brunetti I et al. Phase III trial of </w:t>
      </w:r>
      <w:proofErr w:type="spellStart"/>
      <w:r w:rsidRPr="003D2BB8">
        <w:rPr>
          <w:sz w:val="24"/>
          <w:szCs w:val="24"/>
        </w:rPr>
        <w:t>infusional</w:t>
      </w:r>
      <w:proofErr w:type="spellEnd"/>
      <w:r w:rsidRPr="003D2BB8">
        <w:rPr>
          <w:sz w:val="24"/>
          <w:szCs w:val="24"/>
        </w:rPr>
        <w:t xml:space="preserve"> fluorouracil, </w:t>
      </w:r>
      <w:proofErr w:type="spellStart"/>
      <w:r w:rsidRPr="003D2BB8">
        <w:rPr>
          <w:sz w:val="24"/>
          <w:szCs w:val="24"/>
        </w:rPr>
        <w:t>leucovorin</w:t>
      </w:r>
      <w:proofErr w:type="spellEnd"/>
      <w:r w:rsidRPr="003D2BB8">
        <w:rPr>
          <w:sz w:val="24"/>
          <w:szCs w:val="24"/>
        </w:rPr>
        <w:t xml:space="preserve">, </w:t>
      </w:r>
      <w:proofErr w:type="spellStart"/>
      <w:r w:rsidRPr="003D2BB8">
        <w:rPr>
          <w:sz w:val="24"/>
          <w:szCs w:val="24"/>
        </w:rPr>
        <w:t>oxaliplatin</w:t>
      </w:r>
      <w:proofErr w:type="spellEnd"/>
      <w:r w:rsidRPr="003D2BB8">
        <w:rPr>
          <w:sz w:val="24"/>
          <w:szCs w:val="24"/>
        </w:rPr>
        <w:t xml:space="preserve">, and irinotecan (FOLFOXIRI) compared with </w:t>
      </w:r>
      <w:proofErr w:type="spellStart"/>
      <w:r w:rsidRPr="003D2BB8">
        <w:rPr>
          <w:sz w:val="24"/>
          <w:szCs w:val="24"/>
        </w:rPr>
        <w:t>infusional</w:t>
      </w:r>
      <w:proofErr w:type="spellEnd"/>
      <w:r w:rsidRPr="003D2BB8">
        <w:rPr>
          <w:sz w:val="24"/>
          <w:szCs w:val="24"/>
        </w:rPr>
        <w:t xml:space="preserve"> fluorouracil, </w:t>
      </w:r>
      <w:proofErr w:type="spellStart"/>
      <w:r w:rsidRPr="003D2BB8">
        <w:rPr>
          <w:sz w:val="24"/>
          <w:szCs w:val="24"/>
        </w:rPr>
        <w:t>leucovorin</w:t>
      </w:r>
      <w:proofErr w:type="spellEnd"/>
      <w:r w:rsidRPr="003D2BB8">
        <w:rPr>
          <w:sz w:val="24"/>
          <w:szCs w:val="24"/>
        </w:rPr>
        <w:t xml:space="preserve">, and irinotecan (FOLFIRI) as first-line treatment for metastatic colorectal cancer: the </w:t>
      </w:r>
      <w:proofErr w:type="spellStart"/>
      <w:r w:rsidRPr="003D2BB8">
        <w:rPr>
          <w:sz w:val="24"/>
          <w:szCs w:val="24"/>
        </w:rPr>
        <w:t>Gruppo</w:t>
      </w:r>
      <w:proofErr w:type="spellEnd"/>
      <w:r w:rsidRPr="003D2BB8">
        <w:rPr>
          <w:sz w:val="24"/>
          <w:szCs w:val="24"/>
        </w:rPr>
        <w:t xml:space="preserve"> </w:t>
      </w:r>
      <w:proofErr w:type="spellStart"/>
      <w:r w:rsidRPr="003D2BB8">
        <w:rPr>
          <w:sz w:val="24"/>
          <w:szCs w:val="24"/>
        </w:rPr>
        <w:t>Oncologico</w:t>
      </w:r>
      <w:proofErr w:type="spellEnd"/>
      <w:r w:rsidRPr="003D2BB8">
        <w:rPr>
          <w:sz w:val="24"/>
          <w:szCs w:val="24"/>
        </w:rPr>
        <w:t xml:space="preserve"> Nord </w:t>
      </w:r>
      <w:proofErr w:type="spellStart"/>
      <w:r w:rsidRPr="003D2BB8">
        <w:rPr>
          <w:sz w:val="24"/>
          <w:szCs w:val="24"/>
        </w:rPr>
        <w:t>Ovest</w:t>
      </w:r>
      <w:proofErr w:type="spellEnd"/>
      <w:r w:rsidRPr="003D2BB8">
        <w:rPr>
          <w:sz w:val="24"/>
          <w:szCs w:val="24"/>
        </w:rPr>
        <w:t>.</w:t>
      </w:r>
      <w:proofErr w:type="gramEnd"/>
      <w:r w:rsidRPr="003D2BB8">
        <w:rPr>
          <w:sz w:val="24"/>
          <w:szCs w:val="24"/>
        </w:rPr>
        <w:t xml:space="preserve"> </w:t>
      </w:r>
      <w:proofErr w:type="gramStart"/>
      <w:r w:rsidRPr="003D2BB8">
        <w:rPr>
          <w:sz w:val="24"/>
          <w:szCs w:val="24"/>
        </w:rPr>
        <w:t xml:space="preserve">J </w:t>
      </w:r>
      <w:proofErr w:type="spellStart"/>
      <w:r w:rsidRPr="003D2BB8">
        <w:rPr>
          <w:sz w:val="24"/>
          <w:szCs w:val="24"/>
        </w:rPr>
        <w:t>Clin</w:t>
      </w:r>
      <w:proofErr w:type="spellEnd"/>
      <w:r w:rsidRPr="003D2BB8">
        <w:rPr>
          <w:sz w:val="24"/>
          <w:szCs w:val="24"/>
        </w:rPr>
        <w:t xml:space="preserve"> </w:t>
      </w:r>
      <w:proofErr w:type="spellStart"/>
      <w:r w:rsidRPr="003D2BB8">
        <w:rPr>
          <w:sz w:val="24"/>
          <w:szCs w:val="24"/>
        </w:rPr>
        <w:t>Oncol</w:t>
      </w:r>
      <w:proofErr w:type="spellEnd"/>
      <w:r w:rsidRPr="003D2BB8">
        <w:rPr>
          <w:sz w:val="24"/>
          <w:szCs w:val="24"/>
        </w:rPr>
        <w:t>.</w:t>
      </w:r>
      <w:proofErr w:type="gramEnd"/>
      <w:r w:rsidRPr="003D2BB8">
        <w:rPr>
          <w:sz w:val="24"/>
          <w:szCs w:val="24"/>
        </w:rPr>
        <w:t xml:space="preserve"> </w:t>
      </w:r>
      <w:proofErr w:type="gramStart"/>
      <w:r w:rsidRPr="003D2BB8">
        <w:rPr>
          <w:sz w:val="24"/>
          <w:szCs w:val="24"/>
        </w:rPr>
        <w:t>25(13), 1670–1676 (2007).</w:t>
      </w:r>
      <w:proofErr w:type="gramEnd"/>
    </w:p>
    <w:p w:rsidR="00CE0618" w:rsidRPr="003D2BB8" w:rsidRDefault="00CE0618" w:rsidP="00CE0618">
      <w:pPr>
        <w:rPr>
          <w:sz w:val="24"/>
          <w:szCs w:val="24"/>
        </w:rPr>
      </w:pPr>
    </w:p>
    <w:p w:rsidR="00CE0618" w:rsidRPr="003D2BB8" w:rsidRDefault="00CE0618" w:rsidP="00CE0618">
      <w:pPr>
        <w:rPr>
          <w:sz w:val="24"/>
          <w:szCs w:val="24"/>
        </w:rPr>
        <w:sectPr w:rsidR="00CE0618" w:rsidRPr="003D2BB8">
          <w:headerReference w:type="default" r:id="rId9"/>
          <w:footerReference w:type="default" r:id="rId10"/>
          <w:pgSz w:w="11906" w:h="16838"/>
          <w:pgMar w:top="1440" w:right="1440" w:bottom="1440" w:left="1440" w:header="708" w:footer="708" w:gutter="0"/>
          <w:cols w:space="708"/>
          <w:docGrid w:linePitch="360"/>
        </w:sectPr>
      </w:pPr>
      <w:r w:rsidRPr="003D2BB8">
        <w:t xml:space="preserve"> </w:t>
      </w:r>
    </w:p>
    <w:p w:rsidR="00CE0618" w:rsidRPr="003D2BB8" w:rsidRDefault="00CE0618" w:rsidP="00CE061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4"/>
          <w:szCs w:val="24"/>
          <w:lang w:val="en-US"/>
        </w:rPr>
      </w:pPr>
    </w:p>
    <w:p w:rsidR="00CE0618" w:rsidRPr="003D2BB8" w:rsidRDefault="00CE0618" w:rsidP="00CE061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4"/>
          <w:szCs w:val="24"/>
          <w:lang w:val="en-US"/>
        </w:rPr>
      </w:pPr>
      <w:r w:rsidRPr="003D2BB8">
        <w:rPr>
          <w:rFonts w:ascii="Arial" w:hAnsi="Arial" w:cs="Arial"/>
          <w:b/>
          <w:bCs/>
          <w:sz w:val="24"/>
          <w:szCs w:val="24"/>
          <w:lang w:val="en-US"/>
        </w:rPr>
        <w:t>Dataset for the Pathological Reporting of</w:t>
      </w:r>
    </w:p>
    <w:p w:rsidR="00CE0618" w:rsidRPr="003D2BB8" w:rsidRDefault="00CE0618" w:rsidP="00CE0618">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3D2BB8">
        <w:rPr>
          <w:rFonts w:ascii="Arial" w:hAnsi="Arial" w:cs="Arial"/>
          <w:b/>
          <w:bCs/>
          <w:sz w:val="24"/>
          <w:szCs w:val="24"/>
          <w:lang w:val="en-US"/>
        </w:rPr>
        <w:t>Gastric Carcinoma</w:t>
      </w:r>
    </w:p>
    <w:p w:rsidR="00CE0618" w:rsidRPr="003D2BB8" w:rsidRDefault="00CE0618" w:rsidP="00CE0618">
      <w:pPr>
        <w:pBdr>
          <w:top w:val="single" w:sz="4" w:space="1" w:color="auto"/>
          <w:left w:val="single" w:sz="4" w:space="4" w:color="auto"/>
          <w:bottom w:val="single" w:sz="4" w:space="1" w:color="auto"/>
          <w:right w:val="single" w:sz="4" w:space="4" w:color="auto"/>
        </w:pBdr>
        <w:rPr>
          <w:rFonts w:ascii="Arial" w:hAnsi="Arial" w:cs="Arial"/>
        </w:rPr>
      </w:pPr>
    </w:p>
    <w:p w:rsidR="00CE0618" w:rsidRPr="003D2BB8" w:rsidRDefault="00CE0618" w:rsidP="00CE0618">
      <w:pPr>
        <w:rPr>
          <w:rFonts w:ascii="Arial" w:hAnsi="Arial" w:cs="Arial"/>
        </w:rPr>
      </w:pPr>
    </w:p>
    <w:p w:rsidR="00CE0618" w:rsidRPr="003D2BB8" w:rsidRDefault="00CE0618" w:rsidP="00CE0618">
      <w:pPr>
        <w:rPr>
          <w:rFonts w:ascii="Arial" w:hAnsi="Arial" w:cs="Arial"/>
          <w:b/>
        </w:rPr>
      </w:pPr>
      <w:r w:rsidRPr="003D2BB8">
        <w:rPr>
          <w:rFonts w:ascii="Arial" w:hAnsi="Arial" w:cs="Arial"/>
          <w:b/>
        </w:rPr>
        <w:t>MACROSCOPIC FINDINGS</w:t>
      </w:r>
    </w:p>
    <w:p w:rsidR="00CE0618" w:rsidRPr="003D2BB8" w:rsidRDefault="00CE0618" w:rsidP="00CE0618">
      <w:pPr>
        <w:tabs>
          <w:tab w:val="left" w:pos="1800"/>
          <w:tab w:val="left" w:leader="dot" w:pos="3960"/>
          <w:tab w:val="left" w:pos="5040"/>
          <w:tab w:val="left" w:leader="dot" w:pos="9180"/>
          <w:tab w:val="left" w:leader="underscore" w:pos="9547"/>
        </w:tabs>
        <w:spacing w:after="60"/>
        <w:rPr>
          <w:rFonts w:ascii="Arial" w:hAnsi="Arial" w:cs="Arial"/>
          <w:b/>
          <w:bCs/>
        </w:rPr>
      </w:pPr>
    </w:p>
    <w:p w:rsidR="00CE0618" w:rsidRPr="003D2BB8" w:rsidRDefault="00CE0618" w:rsidP="00CE0618">
      <w:pPr>
        <w:tabs>
          <w:tab w:val="left" w:pos="1800"/>
          <w:tab w:val="left" w:leader="dot" w:pos="3960"/>
          <w:tab w:val="left" w:pos="5040"/>
          <w:tab w:val="left" w:leader="dot" w:pos="9180"/>
          <w:tab w:val="left" w:leader="underscore" w:pos="9547"/>
        </w:tabs>
        <w:spacing w:after="60"/>
        <w:rPr>
          <w:rFonts w:ascii="Arial" w:hAnsi="Arial" w:cs="Arial"/>
          <w:b/>
          <w:bCs/>
        </w:rPr>
      </w:pPr>
      <w:r w:rsidRPr="003D2BB8">
        <w:rPr>
          <w:rFonts w:ascii="Arial" w:hAnsi="Arial" w:cs="Arial"/>
          <w:b/>
          <w:bCs/>
        </w:rPr>
        <w:t>Type of specimen</w:t>
      </w:r>
    </w:p>
    <w:p w:rsidR="00CE0618" w:rsidRPr="003D2BB8" w:rsidRDefault="00CE0618" w:rsidP="00CE0618">
      <w:pPr>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Partial gastrectomy</w:t>
      </w:r>
    </w:p>
    <w:p w:rsidR="00CE0618" w:rsidRPr="003D2BB8" w:rsidRDefault="00CE0618" w:rsidP="00CE0618">
      <w:pPr>
        <w:ind w:firstLine="1980"/>
        <w:rPr>
          <w:rFonts w:ascii="Arial" w:hAnsi="Arial" w:cs="Arial"/>
          <w:lang w:val="en-US"/>
        </w:rPr>
      </w:pPr>
      <w:r w:rsidRPr="003D2BB8">
        <w:rPr>
          <w:rFonts w:ascii="Arial" w:hAnsi="Arial" w:cs="Arial"/>
          <w:lang w:val="en-US"/>
        </w:rPr>
        <w:t xml:space="preserve">□ </w:t>
      </w:r>
      <w:proofErr w:type="gramStart"/>
      <w:r w:rsidRPr="003D2BB8">
        <w:rPr>
          <w:rFonts w:ascii="Arial" w:hAnsi="Arial" w:cs="Arial"/>
          <w:lang w:val="en-US"/>
        </w:rPr>
        <w:t>proximal</w:t>
      </w:r>
      <w:proofErr w:type="gramEnd"/>
      <w:r w:rsidRPr="003D2BB8">
        <w:rPr>
          <w:rFonts w:ascii="Arial" w:hAnsi="Arial" w:cs="Arial"/>
          <w:lang w:val="en-US"/>
        </w:rPr>
        <w:t xml:space="preserve"> </w:t>
      </w:r>
      <w:r w:rsidRPr="003D2BB8">
        <w:rPr>
          <w:rFonts w:ascii="Arial" w:hAnsi="Arial" w:cs="Arial"/>
          <w:lang w:val="en-US"/>
        </w:rPr>
        <w:tab/>
      </w:r>
    </w:p>
    <w:p w:rsidR="00CE0618" w:rsidRPr="003D2BB8" w:rsidRDefault="00CE0618" w:rsidP="00CE0618">
      <w:pPr>
        <w:ind w:firstLine="1980"/>
        <w:rPr>
          <w:rFonts w:ascii="Arial" w:hAnsi="Arial" w:cs="Arial"/>
        </w:rPr>
      </w:pPr>
      <w:r w:rsidRPr="003D2BB8">
        <w:rPr>
          <w:rFonts w:ascii="Arial" w:hAnsi="Arial" w:cs="Arial"/>
          <w:lang w:val="en-US"/>
        </w:rPr>
        <w:t xml:space="preserve">□ </w:t>
      </w:r>
      <w:proofErr w:type="gramStart"/>
      <w:r w:rsidRPr="003D2BB8">
        <w:rPr>
          <w:rFonts w:ascii="Arial" w:hAnsi="Arial" w:cs="Arial"/>
          <w:lang w:val="en-US"/>
        </w:rPr>
        <w:t>distal</w:t>
      </w:r>
      <w:proofErr w:type="gramEnd"/>
    </w:p>
    <w:p w:rsidR="00CE0618" w:rsidRPr="003D2BB8" w:rsidRDefault="00CE0618" w:rsidP="00CE0618">
      <w:pPr>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Total gastrectomy</w:t>
      </w:r>
    </w:p>
    <w:p w:rsidR="00CE0618" w:rsidRPr="003D2BB8" w:rsidRDefault="00CE0618" w:rsidP="00CE0618">
      <w:pPr>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Local resection</w:t>
      </w:r>
    </w:p>
    <w:p w:rsidR="00CE0618" w:rsidRPr="003D2BB8" w:rsidRDefault="00CE0618" w:rsidP="00CE0618">
      <w:pPr>
        <w:ind w:firstLine="720"/>
        <w:rPr>
          <w:rFonts w:ascii="Arial" w:hAnsi="Arial" w:cs="Arial"/>
        </w:rPr>
      </w:pPr>
      <w:r w:rsidRPr="003D2BB8">
        <w:rPr>
          <w:rFonts w:ascii="Arial" w:hAnsi="Arial" w:cs="Arial"/>
          <w:lang w:val="en-US"/>
        </w:rPr>
        <w:t>□</w:t>
      </w:r>
      <w:r w:rsidRPr="003D2BB8">
        <w:rPr>
          <w:rFonts w:ascii="Arial" w:hAnsi="Arial" w:cs="Arial"/>
          <w:lang w:val="en-US"/>
        </w:rPr>
        <w:tab/>
      </w:r>
      <w:proofErr w:type="gramStart"/>
      <w:r w:rsidRPr="003D2BB8">
        <w:rPr>
          <w:rFonts w:ascii="Arial" w:hAnsi="Arial" w:cs="Arial"/>
          <w:lang w:val="en-US"/>
        </w:rPr>
        <w:t>Other</w:t>
      </w:r>
      <w:proofErr w:type="gramEnd"/>
      <w:r w:rsidRPr="003D2BB8">
        <w:rPr>
          <w:rFonts w:ascii="Arial" w:hAnsi="Arial" w:cs="Arial"/>
          <w:lang w:val="en-US"/>
        </w:rPr>
        <w:t xml:space="preserve"> (specify)……………………….</w:t>
      </w:r>
    </w:p>
    <w:p w:rsidR="00CE0618" w:rsidRPr="003D2BB8" w:rsidRDefault="00CE0618" w:rsidP="00CE0618">
      <w:pPr>
        <w:rPr>
          <w:rFonts w:ascii="Arial" w:hAnsi="Arial" w:cs="Arial"/>
        </w:rPr>
      </w:pPr>
    </w:p>
    <w:p w:rsidR="00CE0618" w:rsidRPr="003D2BB8" w:rsidRDefault="00CE0618" w:rsidP="00CE0618">
      <w:pPr>
        <w:tabs>
          <w:tab w:val="left" w:pos="1800"/>
          <w:tab w:val="left" w:leader="dot" w:pos="3960"/>
          <w:tab w:val="left" w:pos="5040"/>
          <w:tab w:val="left" w:leader="dot" w:pos="9180"/>
          <w:tab w:val="left" w:leader="underscore" w:pos="9547"/>
        </w:tabs>
        <w:spacing w:before="60" w:after="60"/>
        <w:rPr>
          <w:rFonts w:ascii="Arial" w:hAnsi="Arial" w:cs="Arial"/>
          <w:b/>
          <w:bCs/>
        </w:rPr>
      </w:pPr>
      <w:r w:rsidRPr="003D2BB8">
        <w:rPr>
          <w:rFonts w:ascii="Arial" w:hAnsi="Arial" w:cs="Arial"/>
          <w:b/>
          <w:bCs/>
        </w:rPr>
        <w:t>Specimen dimensions</w:t>
      </w:r>
      <w:r w:rsidRPr="003D2BB8">
        <w:rPr>
          <w:rFonts w:ascii="Arial" w:hAnsi="Arial" w:cs="Arial"/>
        </w:rPr>
        <w:t xml:space="preserve">  </w:t>
      </w:r>
    </w:p>
    <w:p w:rsidR="00CE0618" w:rsidRPr="003D2BB8" w:rsidRDefault="00CE0618" w:rsidP="00CE0618">
      <w:pPr>
        <w:spacing w:after="60"/>
        <w:ind w:firstLine="720"/>
        <w:rPr>
          <w:rFonts w:ascii="Arial" w:hAnsi="Arial" w:cs="Arial"/>
        </w:rPr>
      </w:pPr>
      <w:r w:rsidRPr="003D2BB8">
        <w:rPr>
          <w:rFonts w:ascii="Arial" w:hAnsi="Arial" w:cs="Arial"/>
        </w:rPr>
        <w:t>Length of stomach:</w:t>
      </w:r>
      <w:r w:rsidRPr="003D2BB8">
        <w:rPr>
          <w:rFonts w:ascii="Arial" w:hAnsi="Arial" w:cs="Arial"/>
        </w:rPr>
        <w:tab/>
        <w:t xml:space="preserve">greater curve </w:t>
      </w:r>
      <w:r w:rsidRPr="003D2BB8">
        <w:rPr>
          <w:rFonts w:ascii="Arial" w:hAnsi="Arial" w:cs="Arial"/>
        </w:rPr>
        <w:tab/>
      </w:r>
      <w:r w:rsidRPr="003D2BB8">
        <w:rPr>
          <w:rFonts w:ascii="Arial" w:hAnsi="Arial" w:cs="Arial"/>
        </w:rPr>
        <w:tab/>
        <w:t xml:space="preserve">_________mm </w:t>
      </w:r>
    </w:p>
    <w:p w:rsidR="00CE0618" w:rsidRPr="003D2BB8" w:rsidRDefault="00CE0618" w:rsidP="00CE0618">
      <w:pPr>
        <w:spacing w:after="60"/>
        <w:ind w:firstLine="720"/>
        <w:rPr>
          <w:rFonts w:ascii="Arial" w:hAnsi="Arial" w:cs="Arial"/>
        </w:rPr>
      </w:pPr>
      <w:r w:rsidRPr="003D2BB8">
        <w:rPr>
          <w:rFonts w:ascii="Arial" w:hAnsi="Arial" w:cs="Arial"/>
        </w:rPr>
        <w:t>Length of stomach:</w:t>
      </w:r>
      <w:r w:rsidRPr="003D2BB8">
        <w:rPr>
          <w:rFonts w:ascii="Arial" w:hAnsi="Arial" w:cs="Arial"/>
        </w:rPr>
        <w:tab/>
      </w:r>
      <w:proofErr w:type="gramStart"/>
      <w:r w:rsidRPr="003D2BB8">
        <w:rPr>
          <w:rFonts w:ascii="Arial" w:hAnsi="Arial" w:cs="Arial"/>
        </w:rPr>
        <w:t>lesser  curve</w:t>
      </w:r>
      <w:proofErr w:type="gramEnd"/>
      <w:r w:rsidRPr="003D2BB8">
        <w:rPr>
          <w:rFonts w:ascii="Arial" w:hAnsi="Arial" w:cs="Arial"/>
        </w:rPr>
        <w:t xml:space="preserve"> </w:t>
      </w:r>
      <w:r w:rsidRPr="003D2BB8">
        <w:rPr>
          <w:rFonts w:ascii="Arial" w:hAnsi="Arial" w:cs="Arial"/>
        </w:rPr>
        <w:tab/>
      </w:r>
      <w:r w:rsidRPr="003D2BB8">
        <w:rPr>
          <w:rFonts w:ascii="Arial" w:hAnsi="Arial" w:cs="Arial"/>
        </w:rPr>
        <w:tab/>
        <w:t xml:space="preserve">_________mm </w:t>
      </w:r>
    </w:p>
    <w:p w:rsidR="00CE0618" w:rsidRPr="003D2BB8" w:rsidRDefault="00CE0618" w:rsidP="00CE0618">
      <w:pPr>
        <w:spacing w:after="60"/>
        <w:ind w:firstLine="720"/>
        <w:rPr>
          <w:rFonts w:ascii="Arial" w:hAnsi="Arial" w:cs="Arial"/>
        </w:rPr>
      </w:pPr>
      <w:r w:rsidRPr="003D2BB8">
        <w:rPr>
          <w:rFonts w:ascii="Arial" w:hAnsi="Arial" w:cs="Arial"/>
        </w:rPr>
        <w:t>Length of oesophagus:</w:t>
      </w:r>
      <w:r w:rsidRPr="003D2BB8">
        <w:rPr>
          <w:rFonts w:ascii="Arial" w:hAnsi="Arial" w:cs="Arial"/>
        </w:rPr>
        <w:tab/>
      </w:r>
      <w:r w:rsidRPr="003D2BB8">
        <w:rPr>
          <w:rFonts w:ascii="Arial" w:hAnsi="Arial" w:cs="Arial"/>
        </w:rPr>
        <w:tab/>
        <w:t xml:space="preserve"> </w:t>
      </w:r>
      <w:r w:rsidRPr="003D2BB8">
        <w:rPr>
          <w:rFonts w:ascii="Arial" w:hAnsi="Arial" w:cs="Arial"/>
        </w:rPr>
        <w:tab/>
        <w:t>_________mm</w:t>
      </w:r>
    </w:p>
    <w:p w:rsidR="00CE0618" w:rsidRPr="003D2BB8" w:rsidRDefault="00CE0618" w:rsidP="00CE0618">
      <w:pPr>
        <w:spacing w:after="120"/>
        <w:ind w:firstLine="720"/>
        <w:rPr>
          <w:rFonts w:ascii="Arial" w:hAnsi="Arial" w:cs="Arial"/>
        </w:rPr>
      </w:pPr>
      <w:r w:rsidRPr="003D2BB8">
        <w:rPr>
          <w:rFonts w:ascii="Arial" w:hAnsi="Arial" w:cs="Arial"/>
        </w:rPr>
        <w:t>Length of duodenum:</w:t>
      </w:r>
      <w:r w:rsidRPr="003D2BB8">
        <w:rPr>
          <w:rFonts w:ascii="Arial" w:hAnsi="Arial" w:cs="Arial"/>
        </w:rPr>
        <w:tab/>
      </w:r>
      <w:r w:rsidRPr="003D2BB8">
        <w:rPr>
          <w:rFonts w:ascii="Arial" w:hAnsi="Arial" w:cs="Arial"/>
        </w:rPr>
        <w:tab/>
      </w:r>
      <w:r w:rsidRPr="003D2BB8">
        <w:rPr>
          <w:rFonts w:ascii="Arial" w:hAnsi="Arial" w:cs="Arial"/>
        </w:rPr>
        <w:tab/>
        <w:t xml:space="preserve"> </w:t>
      </w:r>
      <w:r w:rsidRPr="003D2BB8">
        <w:rPr>
          <w:rFonts w:ascii="Arial" w:hAnsi="Arial" w:cs="Arial"/>
        </w:rPr>
        <w:tab/>
        <w:t>_________mm</w:t>
      </w:r>
    </w:p>
    <w:p w:rsidR="00CE0618" w:rsidRPr="003D2BB8" w:rsidRDefault="00CE0618" w:rsidP="00CE0618">
      <w:pPr>
        <w:tabs>
          <w:tab w:val="left" w:leader="dot" w:pos="3600"/>
          <w:tab w:val="left" w:leader="underscore" w:pos="9547"/>
        </w:tabs>
        <w:spacing w:after="120"/>
        <w:ind w:right="-885"/>
        <w:rPr>
          <w:rFonts w:ascii="Arial" w:hAnsi="Arial" w:cs="Arial"/>
          <w:bCs/>
        </w:rPr>
      </w:pPr>
    </w:p>
    <w:p w:rsidR="00CE0618" w:rsidRPr="003D2BB8" w:rsidRDefault="00CE0618" w:rsidP="00CE0618">
      <w:pPr>
        <w:tabs>
          <w:tab w:val="left" w:leader="dot" w:pos="3600"/>
          <w:tab w:val="left" w:leader="underscore" w:pos="9547"/>
        </w:tabs>
        <w:spacing w:after="120"/>
        <w:ind w:right="-885"/>
        <w:rPr>
          <w:rFonts w:ascii="Arial" w:hAnsi="Arial" w:cs="Arial"/>
          <w:b/>
          <w:bCs/>
        </w:rPr>
      </w:pPr>
      <w:r w:rsidRPr="003D2BB8">
        <w:rPr>
          <w:rFonts w:ascii="Arial" w:hAnsi="Arial" w:cs="Arial"/>
          <w:b/>
          <w:bCs/>
        </w:rPr>
        <w:t>Site of tumour</w:t>
      </w:r>
    </w:p>
    <w:p w:rsidR="00CE0618" w:rsidRPr="003D2BB8" w:rsidRDefault="00CE0618" w:rsidP="00CE0618">
      <w:pPr>
        <w:ind w:right="-851"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Cardia</w:t>
      </w:r>
    </w:p>
    <w:p w:rsidR="00CE0618" w:rsidRPr="003D2BB8" w:rsidRDefault="00CE0618" w:rsidP="00CE0618">
      <w:pPr>
        <w:ind w:right="-851"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Fundus</w:t>
      </w:r>
    </w:p>
    <w:p w:rsidR="00CE0618" w:rsidRPr="003D2BB8" w:rsidRDefault="00CE0618" w:rsidP="00CE0618">
      <w:pPr>
        <w:ind w:right="-851"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Body</w:t>
      </w:r>
    </w:p>
    <w:p w:rsidR="00CE0618" w:rsidRPr="003D2BB8" w:rsidRDefault="00CE0618" w:rsidP="00CE0618">
      <w:pPr>
        <w:ind w:right="-851"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 xml:space="preserve">Antrum </w:t>
      </w:r>
    </w:p>
    <w:p w:rsidR="00CE0618" w:rsidRPr="003D2BB8" w:rsidRDefault="00CE0618" w:rsidP="00CE0618">
      <w:pPr>
        <w:ind w:right="-851" w:firstLine="720"/>
        <w:rPr>
          <w:rFonts w:ascii="Arial" w:hAnsi="Arial" w:cs="Arial"/>
        </w:rPr>
      </w:pPr>
      <w:r w:rsidRPr="003D2BB8">
        <w:rPr>
          <w:rFonts w:ascii="Arial" w:hAnsi="Arial" w:cs="Arial"/>
          <w:lang w:val="en-US"/>
        </w:rPr>
        <w:t>□</w:t>
      </w:r>
      <w:r w:rsidRPr="003D2BB8">
        <w:rPr>
          <w:rFonts w:ascii="Arial" w:hAnsi="Arial" w:cs="Arial"/>
          <w:lang w:val="en-US"/>
        </w:rPr>
        <w:tab/>
      </w:r>
      <w:proofErr w:type="gramStart"/>
      <w:r w:rsidRPr="003D2BB8">
        <w:rPr>
          <w:rFonts w:ascii="Arial" w:hAnsi="Arial" w:cs="Arial"/>
        </w:rPr>
        <w:t>Other</w:t>
      </w:r>
      <w:proofErr w:type="gramEnd"/>
      <w:r w:rsidRPr="003D2BB8">
        <w:rPr>
          <w:rFonts w:ascii="Arial" w:hAnsi="Arial" w:cs="Arial"/>
        </w:rPr>
        <w:t xml:space="preserve"> (specify) ___________________</w:t>
      </w:r>
    </w:p>
    <w:p w:rsidR="00CE0618" w:rsidRPr="003D2BB8" w:rsidRDefault="00CE0618" w:rsidP="00CE0618">
      <w:pPr>
        <w:tabs>
          <w:tab w:val="left" w:pos="1620"/>
          <w:tab w:val="left" w:pos="3060"/>
          <w:tab w:val="left" w:leader="underscore" w:pos="9547"/>
        </w:tabs>
        <w:spacing w:before="60"/>
        <w:rPr>
          <w:rFonts w:ascii="Arial" w:hAnsi="Arial" w:cs="Arial"/>
          <w:bCs/>
        </w:rPr>
      </w:pPr>
    </w:p>
    <w:p w:rsidR="00CE0618" w:rsidRPr="003D2BB8" w:rsidRDefault="00CE0618" w:rsidP="00CE0618">
      <w:pPr>
        <w:spacing w:before="60"/>
        <w:rPr>
          <w:rFonts w:ascii="Arial" w:hAnsi="Arial" w:cs="Arial"/>
        </w:rPr>
      </w:pPr>
      <w:r w:rsidRPr="003D2BB8">
        <w:rPr>
          <w:rFonts w:ascii="Arial" w:hAnsi="Arial" w:cs="Arial"/>
          <w:b/>
          <w:bCs/>
        </w:rPr>
        <w:t>Maximum tumour diameter:</w:t>
      </w:r>
      <w:r w:rsidRPr="003D2BB8">
        <w:rPr>
          <w:rFonts w:ascii="Arial" w:hAnsi="Arial" w:cs="Arial"/>
          <w:b/>
          <w:bCs/>
        </w:rPr>
        <w:tab/>
        <w:t xml:space="preserve"> </w:t>
      </w:r>
      <w:r w:rsidRPr="003D2BB8">
        <w:rPr>
          <w:rFonts w:ascii="Arial" w:hAnsi="Arial" w:cs="Arial"/>
          <w:b/>
          <w:bCs/>
        </w:rPr>
        <w:tab/>
        <w:t>________________</w:t>
      </w:r>
      <w:r w:rsidRPr="003D2BB8">
        <w:rPr>
          <w:rFonts w:ascii="Arial" w:hAnsi="Arial" w:cs="Arial"/>
        </w:rPr>
        <w:t>mm</w:t>
      </w:r>
    </w:p>
    <w:p w:rsidR="00CE0618" w:rsidRPr="003D2BB8" w:rsidRDefault="00CE0618" w:rsidP="00CE0618">
      <w:pPr>
        <w:spacing w:before="60"/>
        <w:rPr>
          <w:rFonts w:ascii="Arial" w:hAnsi="Arial" w:cs="Arial"/>
        </w:rPr>
      </w:pPr>
      <w:r w:rsidRPr="003D2BB8">
        <w:rPr>
          <w:rFonts w:ascii="Arial" w:hAnsi="Arial" w:cs="Arial"/>
          <w:b/>
        </w:rPr>
        <w:t>Distance of tumour to nearest margin:</w:t>
      </w:r>
      <w:r w:rsidRPr="003D2BB8">
        <w:rPr>
          <w:rFonts w:ascii="Arial" w:hAnsi="Arial" w:cs="Arial"/>
          <w:b/>
        </w:rPr>
        <w:tab/>
        <w:t>________________</w:t>
      </w:r>
      <w:r w:rsidRPr="003D2BB8">
        <w:rPr>
          <w:rFonts w:ascii="Arial" w:hAnsi="Arial" w:cs="Arial"/>
        </w:rPr>
        <w:t xml:space="preserve">mm </w:t>
      </w:r>
    </w:p>
    <w:p w:rsidR="00CE0618" w:rsidRPr="003D2BB8" w:rsidRDefault="00CE0618" w:rsidP="00CE0618">
      <w:pPr>
        <w:spacing w:before="60"/>
        <w:rPr>
          <w:rFonts w:ascii="Arial" w:hAnsi="Arial" w:cs="Arial"/>
        </w:rPr>
      </w:pPr>
    </w:p>
    <w:p w:rsidR="00CE0618" w:rsidRPr="003D2BB8" w:rsidRDefault="00CE0618" w:rsidP="00CE0618">
      <w:pPr>
        <w:spacing w:before="60"/>
        <w:rPr>
          <w:rFonts w:ascii="Arial" w:hAnsi="Arial" w:cs="Arial"/>
          <w:b/>
        </w:rPr>
      </w:pPr>
      <w:r w:rsidRPr="003D2BB8">
        <w:rPr>
          <w:rFonts w:ascii="Arial" w:hAnsi="Arial" w:cs="Arial"/>
          <w:b/>
        </w:rPr>
        <w:t>Configuration of tumour</w:t>
      </w:r>
    </w:p>
    <w:p w:rsidR="00CE0618" w:rsidRPr="003D2BB8" w:rsidRDefault="00CE0618" w:rsidP="00CE0618">
      <w:pPr>
        <w:spacing w:before="60"/>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 xml:space="preserve">Polypoid, ulcerating or </w:t>
      </w:r>
      <w:proofErr w:type="spellStart"/>
      <w:r w:rsidRPr="003D2BB8">
        <w:rPr>
          <w:rFonts w:ascii="Arial" w:hAnsi="Arial" w:cs="Arial"/>
        </w:rPr>
        <w:t>fungating</w:t>
      </w:r>
      <w:proofErr w:type="spellEnd"/>
    </w:p>
    <w:p w:rsidR="00CE0618" w:rsidRPr="003D2BB8" w:rsidRDefault="00CE0618" w:rsidP="00CE0618">
      <w:pPr>
        <w:spacing w:before="60"/>
        <w:ind w:firstLine="720"/>
        <w:rPr>
          <w:rFonts w:ascii="Arial" w:hAnsi="Arial" w:cs="Arial"/>
        </w:rPr>
      </w:pPr>
      <w:r w:rsidRPr="003D2BB8">
        <w:rPr>
          <w:rFonts w:ascii="Arial" w:hAnsi="Arial" w:cs="Arial"/>
          <w:lang w:val="en-US"/>
        </w:rPr>
        <w:t>□</w:t>
      </w:r>
      <w:r w:rsidRPr="003D2BB8">
        <w:rPr>
          <w:rFonts w:ascii="Arial" w:hAnsi="Arial" w:cs="Arial"/>
          <w:lang w:val="en-US"/>
        </w:rPr>
        <w:tab/>
      </w:r>
      <w:proofErr w:type="gramStart"/>
      <w:r w:rsidRPr="003D2BB8">
        <w:rPr>
          <w:rFonts w:ascii="Arial" w:hAnsi="Arial" w:cs="Arial"/>
        </w:rPr>
        <w:t>Diffusely</w:t>
      </w:r>
      <w:proofErr w:type="gramEnd"/>
      <w:r w:rsidRPr="003D2BB8">
        <w:rPr>
          <w:rFonts w:ascii="Arial" w:hAnsi="Arial" w:cs="Arial"/>
        </w:rPr>
        <w:t xml:space="preserve"> infiltrating</w:t>
      </w:r>
    </w:p>
    <w:p w:rsidR="00CE0618" w:rsidRPr="003D2BB8" w:rsidRDefault="00CE0618" w:rsidP="00CE0618">
      <w:pPr>
        <w:tabs>
          <w:tab w:val="left" w:pos="1620"/>
          <w:tab w:val="left" w:pos="3060"/>
          <w:tab w:val="left" w:leader="underscore" w:pos="9547"/>
        </w:tabs>
        <w:spacing w:before="60"/>
        <w:rPr>
          <w:rFonts w:ascii="Arial" w:hAnsi="Arial" w:cs="Arial"/>
        </w:rPr>
      </w:pPr>
    </w:p>
    <w:p w:rsidR="00CE0618" w:rsidRPr="003D2BB8" w:rsidRDefault="00CE0618" w:rsidP="00CE0618">
      <w:pPr>
        <w:rPr>
          <w:rFonts w:ascii="Arial" w:hAnsi="Arial" w:cs="Arial"/>
          <w:b/>
        </w:rPr>
      </w:pPr>
      <w:r w:rsidRPr="003D2BB8">
        <w:rPr>
          <w:rFonts w:ascii="Arial" w:hAnsi="Arial" w:cs="Arial"/>
          <w:b/>
        </w:rPr>
        <w:t>MICROSCOPIC FINDINGS</w:t>
      </w:r>
    </w:p>
    <w:p w:rsidR="00CE0618" w:rsidRPr="003D2BB8" w:rsidRDefault="00CE0618" w:rsidP="00CE0618">
      <w:pPr>
        <w:spacing w:before="60"/>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Adenocarcinoma</w:t>
      </w:r>
    </w:p>
    <w:p w:rsidR="00CE0618" w:rsidRPr="003D2BB8" w:rsidRDefault="00CE0618" w:rsidP="00CE0618">
      <w:pPr>
        <w:spacing w:before="60"/>
        <w:ind w:firstLine="720"/>
        <w:rPr>
          <w:rFonts w:ascii="Arial" w:hAnsi="Arial" w:cs="Arial"/>
        </w:rPr>
      </w:pPr>
      <w:r w:rsidRPr="003D2BB8">
        <w:rPr>
          <w:rFonts w:ascii="Arial" w:hAnsi="Arial" w:cs="Arial"/>
          <w:lang w:val="en-US"/>
        </w:rPr>
        <w:t>□</w:t>
      </w:r>
      <w:r w:rsidRPr="003D2BB8">
        <w:rPr>
          <w:rFonts w:ascii="Arial" w:hAnsi="Arial" w:cs="Arial"/>
          <w:lang w:val="en-US"/>
        </w:rPr>
        <w:tab/>
      </w:r>
      <w:proofErr w:type="gramStart"/>
      <w:r w:rsidRPr="003D2BB8">
        <w:rPr>
          <w:rFonts w:ascii="Arial" w:hAnsi="Arial" w:cs="Arial"/>
        </w:rPr>
        <w:t>Other</w:t>
      </w:r>
      <w:proofErr w:type="gramEnd"/>
      <w:r w:rsidRPr="003D2BB8">
        <w:rPr>
          <w:rFonts w:ascii="Arial" w:hAnsi="Arial" w:cs="Arial"/>
        </w:rPr>
        <w:t xml:space="preserve"> (specify) _______________</w:t>
      </w:r>
    </w:p>
    <w:p w:rsidR="00CE0618" w:rsidRPr="003D2BB8" w:rsidRDefault="00CE0618" w:rsidP="00CE0618">
      <w:pPr>
        <w:spacing w:before="60"/>
        <w:ind w:firstLine="720"/>
        <w:rPr>
          <w:rFonts w:ascii="Arial" w:hAnsi="Arial" w:cs="Arial"/>
        </w:rPr>
      </w:pPr>
    </w:p>
    <w:p w:rsidR="00CE0618" w:rsidRPr="003D2BB8" w:rsidRDefault="00CE0618" w:rsidP="00CE0618">
      <w:pPr>
        <w:pStyle w:val="Heading1"/>
        <w:tabs>
          <w:tab w:val="left" w:leader="dot" w:pos="3960"/>
        </w:tabs>
        <w:rPr>
          <w:rFonts w:ascii="Arial" w:hAnsi="Arial" w:cs="Arial"/>
          <w:sz w:val="22"/>
          <w:szCs w:val="22"/>
        </w:rPr>
      </w:pPr>
      <w:r w:rsidRPr="003D2BB8">
        <w:rPr>
          <w:rFonts w:ascii="Arial" w:hAnsi="Arial" w:cs="Arial"/>
          <w:sz w:val="22"/>
          <w:szCs w:val="22"/>
        </w:rPr>
        <w:t>Lauren classification</w:t>
      </w:r>
    </w:p>
    <w:p w:rsidR="00CE0618" w:rsidRPr="003D2BB8" w:rsidRDefault="00CE0618" w:rsidP="00CE0618">
      <w:pPr>
        <w:spacing w:before="60"/>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 xml:space="preserve">Intestinal </w:t>
      </w:r>
    </w:p>
    <w:p w:rsidR="00CE0618" w:rsidRPr="003D2BB8" w:rsidRDefault="00CE0618" w:rsidP="00CE0618">
      <w:pPr>
        <w:spacing w:before="60"/>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 xml:space="preserve">Diffuse/mixed   </w:t>
      </w:r>
    </w:p>
    <w:p w:rsidR="00CE0618" w:rsidRPr="003D2BB8" w:rsidRDefault="00CE0618" w:rsidP="00CE0618">
      <w:pPr>
        <w:tabs>
          <w:tab w:val="left" w:pos="1620"/>
          <w:tab w:val="left" w:pos="3060"/>
          <w:tab w:val="left" w:leader="underscore" w:pos="9547"/>
        </w:tabs>
        <w:spacing w:before="60"/>
        <w:rPr>
          <w:rFonts w:ascii="Arial" w:hAnsi="Arial" w:cs="Arial"/>
        </w:rPr>
      </w:pPr>
    </w:p>
    <w:p w:rsidR="00CE0618" w:rsidRPr="003D2BB8" w:rsidRDefault="00CE0618" w:rsidP="00CE0618">
      <w:pPr>
        <w:rPr>
          <w:rFonts w:ascii="Arial" w:hAnsi="Arial" w:cs="Arial"/>
          <w:b/>
        </w:rPr>
      </w:pPr>
      <w:r w:rsidRPr="003D2BB8">
        <w:rPr>
          <w:rFonts w:ascii="Arial" w:hAnsi="Arial" w:cs="Arial"/>
          <w:b/>
        </w:rPr>
        <w:t xml:space="preserve">Assessment of Grade </w:t>
      </w:r>
      <w:r w:rsidRPr="003D2BB8">
        <w:rPr>
          <w:rFonts w:ascii="Arial" w:hAnsi="Arial" w:cs="Arial"/>
        </w:rPr>
        <w:t>(</w:t>
      </w:r>
      <w:r w:rsidRPr="003D2BB8">
        <w:rPr>
          <w:rFonts w:ascii="Arial" w:eastAsia="MS Mincho" w:hAnsi="Arial" w:cs="Arial"/>
          <w:lang w:eastAsia="ja-JP"/>
        </w:rPr>
        <w:t>highest grade in any part of the tumour)</w:t>
      </w:r>
    </w:p>
    <w:p w:rsidR="00CE0618" w:rsidRPr="003D2BB8" w:rsidRDefault="00CE0618" w:rsidP="00CE0618">
      <w:pPr>
        <w:spacing w:before="60"/>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Well/moderately</w:t>
      </w:r>
      <w:bookmarkStart w:id="7" w:name="Check12"/>
      <w:r w:rsidRPr="003D2BB8">
        <w:rPr>
          <w:rFonts w:ascii="Arial" w:hAnsi="Arial" w:cs="Arial"/>
        </w:rPr>
        <w:t xml:space="preserve"> differentiated</w:t>
      </w:r>
    </w:p>
    <w:bookmarkEnd w:id="7"/>
    <w:p w:rsidR="00CE0618" w:rsidRPr="003D2BB8" w:rsidRDefault="00CE0618" w:rsidP="00CE0618">
      <w:pPr>
        <w:spacing w:before="60"/>
        <w:ind w:firstLine="720"/>
        <w:rPr>
          <w:rFonts w:ascii="Arial" w:hAnsi="Arial" w:cs="Arial"/>
        </w:rPr>
      </w:pPr>
      <w:r w:rsidRPr="003D2BB8">
        <w:rPr>
          <w:rFonts w:ascii="Arial" w:hAnsi="Arial" w:cs="Arial"/>
          <w:lang w:val="en-US"/>
        </w:rPr>
        <w:t>□</w:t>
      </w:r>
      <w:r w:rsidRPr="003D2BB8">
        <w:rPr>
          <w:rFonts w:ascii="Arial" w:hAnsi="Arial" w:cs="Arial"/>
          <w:lang w:val="en-US"/>
        </w:rPr>
        <w:tab/>
      </w:r>
      <w:proofErr w:type="gramStart"/>
      <w:r w:rsidRPr="003D2BB8">
        <w:rPr>
          <w:rFonts w:ascii="Arial" w:hAnsi="Arial" w:cs="Arial"/>
        </w:rPr>
        <w:t>Poorly</w:t>
      </w:r>
      <w:proofErr w:type="gramEnd"/>
      <w:r w:rsidRPr="003D2BB8">
        <w:rPr>
          <w:rFonts w:ascii="Arial" w:hAnsi="Arial" w:cs="Arial"/>
        </w:rPr>
        <w:t xml:space="preserve"> differentiated</w:t>
      </w:r>
    </w:p>
    <w:p w:rsidR="00CE0618" w:rsidRPr="003D2BB8" w:rsidRDefault="00CE0618" w:rsidP="00CE0618">
      <w:pPr>
        <w:tabs>
          <w:tab w:val="left" w:pos="1620"/>
          <w:tab w:val="left" w:pos="3060"/>
          <w:tab w:val="left" w:leader="underscore" w:pos="9547"/>
        </w:tabs>
        <w:spacing w:before="60"/>
        <w:rPr>
          <w:rFonts w:ascii="Arial" w:hAnsi="Arial" w:cs="Arial"/>
        </w:rPr>
      </w:pPr>
    </w:p>
    <w:p w:rsidR="00CE0618" w:rsidRPr="003D2BB8" w:rsidRDefault="00CE0618" w:rsidP="00CE0618">
      <w:pPr>
        <w:tabs>
          <w:tab w:val="left" w:leader="dot" w:pos="3960"/>
          <w:tab w:val="left" w:pos="5040"/>
          <w:tab w:val="left" w:leader="dot" w:pos="9180"/>
          <w:tab w:val="left" w:leader="underscore" w:pos="9547"/>
        </w:tabs>
        <w:spacing w:after="60"/>
        <w:rPr>
          <w:rFonts w:ascii="Arial" w:hAnsi="Arial" w:cs="Arial"/>
          <w:b/>
          <w:bCs/>
        </w:rPr>
      </w:pPr>
      <w:r w:rsidRPr="003D2BB8">
        <w:rPr>
          <w:rFonts w:ascii="Arial" w:hAnsi="Arial" w:cs="Arial"/>
          <w:b/>
          <w:bCs/>
        </w:rPr>
        <w:t>Local invasion</w:t>
      </w:r>
    </w:p>
    <w:p w:rsidR="00CE0618" w:rsidRPr="003D2BB8" w:rsidRDefault="00CE0618" w:rsidP="00CE0618">
      <w:pPr>
        <w:spacing w:after="60"/>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T0</w:t>
      </w:r>
      <w:r w:rsidRPr="003D2BB8">
        <w:rPr>
          <w:rFonts w:ascii="Arial" w:hAnsi="Arial" w:cs="Arial"/>
        </w:rPr>
        <w:tab/>
        <w:t>No tumour identified</w:t>
      </w:r>
      <w:bookmarkStart w:id="8" w:name="Check18"/>
      <w:r w:rsidRPr="003D2BB8">
        <w:rPr>
          <w:rFonts w:ascii="Arial" w:hAnsi="Arial" w:cs="Arial"/>
        </w:rPr>
        <w:t xml:space="preserve"> </w:t>
      </w:r>
      <w:bookmarkEnd w:id="8"/>
    </w:p>
    <w:p w:rsidR="00CE0618" w:rsidRPr="003D2BB8" w:rsidRDefault="00CE0618" w:rsidP="00CE0618">
      <w:pPr>
        <w:spacing w:after="60"/>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Tis</w:t>
      </w:r>
      <w:r w:rsidRPr="003D2BB8">
        <w:rPr>
          <w:rFonts w:ascii="Arial" w:hAnsi="Arial" w:cs="Arial"/>
        </w:rPr>
        <w:tab/>
        <w:t xml:space="preserve">Carcinoma </w:t>
      </w:r>
      <w:r w:rsidRPr="003D2BB8">
        <w:rPr>
          <w:rFonts w:ascii="Arial" w:hAnsi="Arial" w:cs="Arial"/>
          <w:i/>
        </w:rPr>
        <w:t xml:space="preserve">in situ: </w:t>
      </w:r>
      <w:r w:rsidRPr="003D2BB8">
        <w:rPr>
          <w:rFonts w:ascii="Arial" w:hAnsi="Arial" w:cs="Arial"/>
        </w:rPr>
        <w:t>intraepithelial tumour without invasion of lamina</w:t>
      </w:r>
    </w:p>
    <w:p w:rsidR="00CE0618" w:rsidRPr="003D2BB8" w:rsidRDefault="00CE0618" w:rsidP="00CE0618">
      <w:pPr>
        <w:spacing w:after="60"/>
        <w:ind w:firstLine="2160"/>
        <w:rPr>
          <w:rFonts w:ascii="Arial" w:hAnsi="Arial" w:cs="Arial"/>
        </w:rPr>
      </w:pPr>
      <w:proofErr w:type="spellStart"/>
      <w:proofErr w:type="gramStart"/>
      <w:r w:rsidRPr="003D2BB8">
        <w:rPr>
          <w:rFonts w:ascii="Arial" w:hAnsi="Arial" w:cs="Arial"/>
        </w:rPr>
        <w:t>propria</w:t>
      </w:r>
      <w:proofErr w:type="spellEnd"/>
      <w:proofErr w:type="gramEnd"/>
      <w:r w:rsidRPr="003D2BB8">
        <w:rPr>
          <w:rFonts w:ascii="Arial" w:hAnsi="Arial" w:cs="Arial"/>
          <w:i/>
        </w:rPr>
        <w:t xml:space="preserve"> </w:t>
      </w:r>
    </w:p>
    <w:p w:rsidR="00CE0618" w:rsidRPr="003D2BB8" w:rsidRDefault="00CE0618" w:rsidP="00CE0618">
      <w:pPr>
        <w:spacing w:after="60"/>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T1</w:t>
      </w:r>
      <w:r w:rsidRPr="003D2BB8">
        <w:rPr>
          <w:rFonts w:ascii="Arial" w:hAnsi="Arial" w:cs="Arial"/>
        </w:rPr>
        <w:tab/>
        <w:t xml:space="preserve">Invasion of lamina </w:t>
      </w:r>
      <w:proofErr w:type="spellStart"/>
      <w:r w:rsidRPr="003D2BB8">
        <w:rPr>
          <w:rFonts w:ascii="Arial" w:hAnsi="Arial" w:cs="Arial"/>
        </w:rPr>
        <w:t>propria</w:t>
      </w:r>
      <w:proofErr w:type="spellEnd"/>
      <w:r w:rsidRPr="003D2BB8">
        <w:rPr>
          <w:rFonts w:ascii="Arial" w:hAnsi="Arial" w:cs="Arial"/>
        </w:rPr>
        <w:t>/submucosa</w:t>
      </w:r>
      <w:bookmarkStart w:id="9" w:name="Check21"/>
      <w:r w:rsidRPr="003D2BB8">
        <w:rPr>
          <w:rFonts w:ascii="Arial" w:hAnsi="Arial" w:cs="Arial"/>
        </w:rPr>
        <w:t xml:space="preserve"> </w:t>
      </w:r>
      <w:bookmarkEnd w:id="9"/>
    </w:p>
    <w:p w:rsidR="00CE0618" w:rsidRPr="003D2BB8" w:rsidRDefault="00CE0618" w:rsidP="00CE0618">
      <w:pPr>
        <w:spacing w:after="60"/>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T2a</w:t>
      </w:r>
      <w:r w:rsidRPr="003D2BB8">
        <w:rPr>
          <w:rFonts w:ascii="Arial" w:hAnsi="Arial" w:cs="Arial"/>
        </w:rPr>
        <w:tab/>
        <w:t xml:space="preserve">Invasion of </w:t>
      </w:r>
      <w:proofErr w:type="spellStart"/>
      <w:r w:rsidRPr="003D2BB8">
        <w:rPr>
          <w:rFonts w:ascii="Arial" w:hAnsi="Arial" w:cs="Arial"/>
        </w:rPr>
        <w:t>muscularis</w:t>
      </w:r>
      <w:proofErr w:type="spellEnd"/>
      <w:r w:rsidRPr="003D2BB8">
        <w:rPr>
          <w:rFonts w:ascii="Arial" w:hAnsi="Arial" w:cs="Arial"/>
        </w:rPr>
        <w:t xml:space="preserve"> </w:t>
      </w:r>
      <w:proofErr w:type="spellStart"/>
      <w:r w:rsidRPr="003D2BB8">
        <w:rPr>
          <w:rFonts w:ascii="Arial" w:hAnsi="Arial" w:cs="Arial"/>
        </w:rPr>
        <w:t>propria</w:t>
      </w:r>
      <w:bookmarkStart w:id="10" w:name="Check24"/>
      <w:proofErr w:type="spellEnd"/>
      <w:r w:rsidRPr="003D2BB8">
        <w:rPr>
          <w:rFonts w:ascii="Arial" w:hAnsi="Arial" w:cs="Arial"/>
        </w:rPr>
        <w:t xml:space="preserve"> </w:t>
      </w:r>
      <w:bookmarkEnd w:id="10"/>
    </w:p>
    <w:p w:rsidR="00CE0618" w:rsidRPr="003D2BB8" w:rsidRDefault="00CE0618" w:rsidP="00CE0618">
      <w:pPr>
        <w:spacing w:after="60"/>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T2b</w:t>
      </w:r>
      <w:r w:rsidRPr="003D2BB8">
        <w:rPr>
          <w:rFonts w:ascii="Arial" w:hAnsi="Arial" w:cs="Arial"/>
        </w:rPr>
        <w:tab/>
        <w:t xml:space="preserve">Invasion into </w:t>
      </w:r>
      <w:proofErr w:type="spellStart"/>
      <w:r w:rsidRPr="003D2BB8">
        <w:rPr>
          <w:rFonts w:ascii="Arial" w:hAnsi="Arial" w:cs="Arial"/>
        </w:rPr>
        <w:t>subserosa</w:t>
      </w:r>
      <w:bookmarkStart w:id="11" w:name="Check25"/>
      <w:proofErr w:type="spellEnd"/>
      <w:r w:rsidRPr="003D2BB8">
        <w:rPr>
          <w:rFonts w:ascii="Arial" w:hAnsi="Arial" w:cs="Arial"/>
        </w:rPr>
        <w:t xml:space="preserve"> </w:t>
      </w:r>
      <w:bookmarkEnd w:id="11"/>
    </w:p>
    <w:p w:rsidR="00CE0618" w:rsidRPr="003D2BB8" w:rsidRDefault="00CE0618" w:rsidP="00CE0618">
      <w:pPr>
        <w:spacing w:after="60"/>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T3</w:t>
      </w:r>
      <w:r w:rsidRPr="003D2BB8">
        <w:rPr>
          <w:rFonts w:ascii="Arial" w:hAnsi="Arial" w:cs="Arial"/>
        </w:rPr>
        <w:tab/>
        <w:t>Invasion of serosa</w:t>
      </w:r>
      <w:bookmarkStart w:id="12" w:name="Check26"/>
      <w:r w:rsidRPr="003D2BB8">
        <w:rPr>
          <w:rFonts w:ascii="Arial" w:hAnsi="Arial" w:cs="Arial"/>
        </w:rPr>
        <w:t xml:space="preserve"> (visceral peritoneum) without invasion of adjacent</w:t>
      </w:r>
    </w:p>
    <w:p w:rsidR="00CE0618" w:rsidRPr="003D2BB8" w:rsidRDefault="00CE0618" w:rsidP="00CE0618">
      <w:pPr>
        <w:spacing w:after="60"/>
        <w:ind w:firstLine="2160"/>
        <w:rPr>
          <w:rFonts w:ascii="Arial" w:hAnsi="Arial" w:cs="Arial"/>
        </w:rPr>
      </w:pPr>
      <w:proofErr w:type="gramStart"/>
      <w:r w:rsidRPr="003D2BB8">
        <w:rPr>
          <w:rFonts w:ascii="Arial" w:hAnsi="Arial" w:cs="Arial"/>
        </w:rPr>
        <w:t>structures</w:t>
      </w:r>
      <w:proofErr w:type="gramEnd"/>
      <w:r w:rsidRPr="003D2BB8">
        <w:rPr>
          <w:rFonts w:ascii="Arial" w:hAnsi="Arial" w:cs="Arial"/>
        </w:rPr>
        <w:t xml:space="preserve"> </w:t>
      </w:r>
      <w:bookmarkEnd w:id="12"/>
    </w:p>
    <w:p w:rsidR="00CE0618" w:rsidRPr="003D2BB8" w:rsidRDefault="00CE0618" w:rsidP="00CE0618">
      <w:pPr>
        <w:spacing w:line="360" w:lineRule="auto"/>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T4</w:t>
      </w:r>
      <w:r w:rsidRPr="003D2BB8">
        <w:rPr>
          <w:rFonts w:ascii="Arial" w:hAnsi="Arial" w:cs="Arial"/>
        </w:rPr>
        <w:tab/>
        <w:t xml:space="preserve">Invasion of adjacent structures </w:t>
      </w:r>
    </w:p>
    <w:p w:rsidR="00CE0618" w:rsidRPr="003D2BB8" w:rsidRDefault="00CE0618" w:rsidP="00CE0618">
      <w:pPr>
        <w:tabs>
          <w:tab w:val="left" w:pos="3827"/>
        </w:tabs>
        <w:rPr>
          <w:rFonts w:ascii="Arial" w:hAnsi="Arial" w:cs="Arial"/>
          <w:b/>
          <w:bCs/>
        </w:rPr>
      </w:pPr>
    </w:p>
    <w:p w:rsidR="00CE0618" w:rsidRPr="003D2BB8" w:rsidRDefault="00CE0618" w:rsidP="00CE0618">
      <w:pPr>
        <w:tabs>
          <w:tab w:val="left" w:pos="3827"/>
        </w:tabs>
        <w:rPr>
          <w:rFonts w:ascii="Arial" w:hAnsi="Arial" w:cs="Arial"/>
          <w:b/>
          <w:bCs/>
        </w:rPr>
      </w:pPr>
      <w:r w:rsidRPr="003D2BB8">
        <w:rPr>
          <w:rFonts w:ascii="Arial" w:hAnsi="Arial" w:cs="Arial"/>
          <w:b/>
          <w:bCs/>
        </w:rPr>
        <w:t>Proximal margin involved:</w:t>
      </w:r>
    </w:p>
    <w:p w:rsidR="00CE0618" w:rsidRPr="003D2BB8" w:rsidRDefault="00CE0618" w:rsidP="00CE0618">
      <w:pPr>
        <w:ind w:firstLine="720"/>
        <w:rPr>
          <w:rFonts w:ascii="Arial" w:hAnsi="Arial" w:cs="Arial"/>
        </w:rPr>
      </w:pPr>
      <w:bookmarkStart w:id="13" w:name="Check41"/>
      <w:r w:rsidRPr="003D2BB8">
        <w:rPr>
          <w:rFonts w:ascii="Arial" w:hAnsi="Arial" w:cs="Arial"/>
          <w:lang w:val="en-US"/>
        </w:rPr>
        <w:t>□</w:t>
      </w:r>
      <w:r w:rsidRPr="003D2BB8">
        <w:rPr>
          <w:rFonts w:ascii="Arial" w:hAnsi="Arial" w:cs="Arial"/>
          <w:lang w:val="en-US"/>
        </w:rPr>
        <w:tab/>
      </w:r>
      <w:r w:rsidRPr="003D2BB8">
        <w:rPr>
          <w:rFonts w:ascii="Arial" w:hAnsi="Arial" w:cs="Arial"/>
        </w:rPr>
        <w:t>Yes</w:t>
      </w:r>
      <w:bookmarkEnd w:id="13"/>
    </w:p>
    <w:p w:rsidR="00CE0618" w:rsidRPr="003D2BB8" w:rsidRDefault="00CE0618" w:rsidP="00CE0618">
      <w:pPr>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No</w:t>
      </w:r>
    </w:p>
    <w:p w:rsidR="00CE0618" w:rsidRPr="003D2BB8" w:rsidRDefault="00CE0618" w:rsidP="00CE0618">
      <w:pPr>
        <w:tabs>
          <w:tab w:val="left" w:pos="540"/>
          <w:tab w:val="left" w:pos="1440"/>
          <w:tab w:val="left" w:pos="1800"/>
          <w:tab w:val="left" w:pos="3060"/>
          <w:tab w:val="left" w:pos="3544"/>
          <w:tab w:val="left" w:leader="dot" w:pos="9180"/>
          <w:tab w:val="left" w:leader="underscore" w:pos="9547"/>
        </w:tabs>
        <w:rPr>
          <w:rFonts w:ascii="Arial" w:hAnsi="Arial" w:cs="Arial"/>
          <w:b/>
        </w:rPr>
      </w:pPr>
    </w:p>
    <w:p w:rsidR="00CE0618" w:rsidRPr="003D2BB8" w:rsidRDefault="00CE0618" w:rsidP="00CE0618">
      <w:pPr>
        <w:tabs>
          <w:tab w:val="left" w:pos="540"/>
          <w:tab w:val="left" w:pos="1440"/>
          <w:tab w:val="left" w:pos="1800"/>
          <w:tab w:val="left" w:pos="3060"/>
          <w:tab w:val="left" w:pos="3544"/>
          <w:tab w:val="left" w:leader="dot" w:pos="9180"/>
          <w:tab w:val="left" w:leader="underscore" w:pos="9547"/>
        </w:tabs>
        <w:rPr>
          <w:rFonts w:ascii="Arial" w:hAnsi="Arial" w:cs="Arial"/>
          <w:b/>
        </w:rPr>
      </w:pPr>
      <w:r w:rsidRPr="003D2BB8">
        <w:rPr>
          <w:rFonts w:ascii="Arial" w:hAnsi="Arial" w:cs="Arial"/>
          <w:b/>
        </w:rPr>
        <w:t>Distal margin involved:</w:t>
      </w:r>
    </w:p>
    <w:p w:rsidR="00CE0618" w:rsidRPr="003D2BB8" w:rsidRDefault="00CE0618" w:rsidP="00CE0618">
      <w:pPr>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Yes</w:t>
      </w:r>
    </w:p>
    <w:p w:rsidR="00CE0618" w:rsidRPr="003D2BB8" w:rsidRDefault="00CE0618" w:rsidP="00CE0618">
      <w:pPr>
        <w:ind w:firstLine="720"/>
        <w:rPr>
          <w:rFonts w:ascii="Arial" w:hAnsi="Arial" w:cs="Arial"/>
          <w:b/>
        </w:rPr>
      </w:pPr>
      <w:r w:rsidRPr="003D2BB8">
        <w:rPr>
          <w:rFonts w:ascii="Arial" w:hAnsi="Arial" w:cs="Arial"/>
          <w:lang w:val="en-US"/>
        </w:rPr>
        <w:t>□</w:t>
      </w:r>
      <w:r w:rsidRPr="003D2BB8">
        <w:rPr>
          <w:rFonts w:ascii="Arial" w:hAnsi="Arial" w:cs="Arial"/>
          <w:lang w:val="en-US"/>
        </w:rPr>
        <w:tab/>
      </w:r>
      <w:r w:rsidRPr="003D2BB8">
        <w:rPr>
          <w:rFonts w:ascii="Arial" w:hAnsi="Arial" w:cs="Arial"/>
        </w:rPr>
        <w:t>No</w:t>
      </w:r>
    </w:p>
    <w:p w:rsidR="00CE0618" w:rsidRPr="003D2BB8" w:rsidRDefault="00CE0618" w:rsidP="00CE0618">
      <w:pPr>
        <w:ind w:firstLine="720"/>
        <w:rPr>
          <w:rFonts w:ascii="Arial" w:hAnsi="Arial" w:cs="Arial"/>
          <w:b/>
        </w:rPr>
      </w:pPr>
    </w:p>
    <w:p w:rsidR="00CE0618" w:rsidRPr="003D2BB8" w:rsidRDefault="00CE0618" w:rsidP="00CE0618">
      <w:pPr>
        <w:rPr>
          <w:rFonts w:ascii="Arial" w:hAnsi="Arial" w:cs="Arial"/>
        </w:rPr>
      </w:pPr>
      <w:r w:rsidRPr="003D2BB8">
        <w:rPr>
          <w:rFonts w:ascii="Arial" w:hAnsi="Arial" w:cs="Arial"/>
          <w:b/>
          <w:bCs/>
        </w:rPr>
        <w:t xml:space="preserve">Circumferential margin lower oesophagus:  </w:t>
      </w:r>
      <w:r w:rsidRPr="003D2BB8">
        <w:rPr>
          <w:rFonts w:ascii="Arial" w:hAnsi="Arial" w:cs="Arial"/>
        </w:rPr>
        <w:t>Involvement (&lt; 1 mm):</w:t>
      </w:r>
    </w:p>
    <w:p w:rsidR="00CE0618" w:rsidRPr="003D2BB8" w:rsidRDefault="00CE0618" w:rsidP="00CE0618">
      <w:pPr>
        <w:spacing w:line="360" w:lineRule="auto"/>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Yes</w:t>
      </w:r>
    </w:p>
    <w:p w:rsidR="00CE0618" w:rsidRPr="003D2BB8" w:rsidRDefault="00CE0618" w:rsidP="00CE0618">
      <w:pPr>
        <w:spacing w:line="360" w:lineRule="auto"/>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No</w:t>
      </w:r>
    </w:p>
    <w:p w:rsidR="00CE0618" w:rsidRPr="003D2BB8" w:rsidRDefault="00CE0618" w:rsidP="00CE0618">
      <w:pPr>
        <w:spacing w:line="360" w:lineRule="auto"/>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N/A</w:t>
      </w:r>
    </w:p>
    <w:p w:rsidR="00CE0618" w:rsidRPr="003D2BB8" w:rsidRDefault="00CE0618" w:rsidP="00CE0618">
      <w:pPr>
        <w:rPr>
          <w:rFonts w:ascii="Arial" w:hAnsi="Arial" w:cs="Arial"/>
        </w:rPr>
      </w:pPr>
      <w:r w:rsidRPr="003D2BB8">
        <w:rPr>
          <w:rFonts w:ascii="Arial" w:hAnsi="Arial" w:cs="Arial"/>
        </w:rPr>
        <w:t>If no, distance of tumour to nearest circumferential margin:</w:t>
      </w:r>
      <w:r w:rsidRPr="003D2BB8">
        <w:rPr>
          <w:rFonts w:ascii="Arial" w:hAnsi="Arial" w:cs="Arial"/>
        </w:rPr>
        <w:tab/>
        <w:t>____________________mm)</w:t>
      </w:r>
    </w:p>
    <w:p w:rsidR="00CE0618" w:rsidRPr="003D2BB8" w:rsidRDefault="00CE0618" w:rsidP="00CE0618">
      <w:pPr>
        <w:tabs>
          <w:tab w:val="left" w:leader="dot" w:pos="3600"/>
          <w:tab w:val="left" w:pos="5040"/>
          <w:tab w:val="left" w:leader="underscore" w:pos="9619"/>
        </w:tabs>
        <w:rPr>
          <w:rFonts w:ascii="Arial" w:hAnsi="Arial" w:cs="Arial"/>
          <w:b/>
          <w:bCs/>
        </w:rPr>
      </w:pPr>
    </w:p>
    <w:p w:rsidR="00CE0618" w:rsidRPr="003D2BB8" w:rsidRDefault="00CE0618" w:rsidP="00CE0618">
      <w:pPr>
        <w:tabs>
          <w:tab w:val="left" w:leader="dot" w:pos="3600"/>
          <w:tab w:val="left" w:pos="5040"/>
          <w:tab w:val="left" w:leader="underscore" w:pos="9619"/>
        </w:tabs>
        <w:rPr>
          <w:rFonts w:ascii="Arial" w:hAnsi="Arial" w:cs="Arial"/>
          <w:b/>
          <w:bCs/>
        </w:rPr>
      </w:pPr>
    </w:p>
    <w:p w:rsidR="00CE0618" w:rsidRPr="003D2BB8" w:rsidRDefault="00CE0618" w:rsidP="00CE0618">
      <w:pPr>
        <w:rPr>
          <w:rFonts w:ascii="Arial" w:hAnsi="Arial" w:cs="Arial"/>
          <w:b/>
          <w:bCs/>
        </w:rPr>
      </w:pPr>
      <w:r w:rsidRPr="003D2BB8">
        <w:rPr>
          <w:rFonts w:ascii="Arial" w:hAnsi="Arial" w:cs="Arial"/>
          <w:b/>
          <w:bCs/>
        </w:rPr>
        <w:t>Lymphatic/vascular invasion</w:t>
      </w:r>
    </w:p>
    <w:p w:rsidR="00CE0618" w:rsidRPr="003D2BB8" w:rsidRDefault="00CE0618" w:rsidP="00CE0618">
      <w:pPr>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Yes</w:t>
      </w:r>
    </w:p>
    <w:p w:rsidR="00CE0618" w:rsidRPr="003D2BB8" w:rsidRDefault="00CE0618" w:rsidP="00CE0618">
      <w:pPr>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No</w:t>
      </w:r>
    </w:p>
    <w:p w:rsidR="00CE0618" w:rsidRPr="003D2BB8" w:rsidRDefault="00CE0618" w:rsidP="00CE0618">
      <w:pPr>
        <w:rPr>
          <w:rFonts w:ascii="Arial" w:hAnsi="Arial" w:cs="Arial"/>
          <w:b/>
        </w:rPr>
      </w:pPr>
    </w:p>
    <w:p w:rsidR="00CE0618" w:rsidRPr="003D2BB8" w:rsidRDefault="00CE0618" w:rsidP="00CE0618">
      <w:pPr>
        <w:rPr>
          <w:rFonts w:ascii="Arial" w:hAnsi="Arial" w:cs="Arial"/>
          <w:b/>
        </w:rPr>
      </w:pPr>
      <w:r w:rsidRPr="003D2BB8">
        <w:rPr>
          <w:rFonts w:ascii="Arial" w:hAnsi="Arial" w:cs="Arial"/>
          <w:b/>
        </w:rPr>
        <w:t>Lymph nodes:</w:t>
      </w:r>
    </w:p>
    <w:p w:rsidR="00CE0618" w:rsidRPr="003D2BB8" w:rsidRDefault="00CE0618" w:rsidP="00CE0618">
      <w:pPr>
        <w:rPr>
          <w:rFonts w:ascii="Arial" w:hAnsi="Arial" w:cs="Arial"/>
          <w:i/>
        </w:rPr>
      </w:pPr>
      <w:r w:rsidRPr="003D2BB8">
        <w:rPr>
          <w:rFonts w:ascii="Arial" w:hAnsi="Arial" w:cs="Arial"/>
          <w:i/>
        </w:rPr>
        <w:t>(</w:t>
      </w:r>
      <w:proofErr w:type="gramStart"/>
      <w:r w:rsidRPr="003D2BB8">
        <w:rPr>
          <w:rFonts w:ascii="Arial" w:hAnsi="Arial" w:cs="Arial"/>
          <w:i/>
        </w:rPr>
        <w:t>all</w:t>
      </w:r>
      <w:proofErr w:type="gramEnd"/>
      <w:r w:rsidRPr="003D2BB8">
        <w:rPr>
          <w:rFonts w:ascii="Arial" w:hAnsi="Arial" w:cs="Arial"/>
          <w:i/>
        </w:rPr>
        <w:t xml:space="preserve"> specimen nodes will be examined)</w:t>
      </w:r>
    </w:p>
    <w:p w:rsidR="00CE0618" w:rsidRPr="003D2BB8" w:rsidRDefault="00CE0618" w:rsidP="00CE0618">
      <w:pPr>
        <w:ind w:firstLine="720"/>
        <w:rPr>
          <w:rFonts w:ascii="Arial" w:hAnsi="Arial" w:cs="Arial"/>
          <w:lang w:val="nl-BE"/>
        </w:rPr>
      </w:pPr>
      <w:r w:rsidRPr="003D2BB8">
        <w:rPr>
          <w:rFonts w:ascii="Arial" w:hAnsi="Arial" w:cs="Arial"/>
          <w:lang w:val="nl-BE"/>
        </w:rPr>
        <w:t>□</w:t>
      </w:r>
      <w:r w:rsidRPr="003D2BB8">
        <w:rPr>
          <w:rFonts w:ascii="Arial" w:hAnsi="Arial" w:cs="Arial"/>
          <w:lang w:val="nl-BE"/>
        </w:rPr>
        <w:tab/>
        <w:t>N0 (0 nodes)</w:t>
      </w:r>
    </w:p>
    <w:p w:rsidR="00CE0618" w:rsidRPr="003D2BB8" w:rsidRDefault="00CE0618" w:rsidP="00CE0618">
      <w:pPr>
        <w:ind w:firstLine="720"/>
        <w:rPr>
          <w:rFonts w:ascii="Arial" w:hAnsi="Arial" w:cs="Arial"/>
          <w:lang w:val="nl-BE"/>
        </w:rPr>
      </w:pPr>
      <w:r w:rsidRPr="003D2BB8">
        <w:rPr>
          <w:rFonts w:ascii="Arial" w:hAnsi="Arial" w:cs="Arial"/>
          <w:lang w:val="nl-BE"/>
        </w:rPr>
        <w:t>□</w:t>
      </w:r>
      <w:r w:rsidRPr="003D2BB8">
        <w:rPr>
          <w:rFonts w:ascii="Arial" w:hAnsi="Arial" w:cs="Arial"/>
          <w:lang w:val="nl-BE"/>
        </w:rPr>
        <w:tab/>
        <w:t>N1 (1–6 nodes)</w:t>
      </w:r>
    </w:p>
    <w:p w:rsidR="00CE0618" w:rsidRPr="003D2BB8" w:rsidRDefault="00CE0618" w:rsidP="00CE0618">
      <w:pPr>
        <w:ind w:firstLine="720"/>
        <w:rPr>
          <w:rFonts w:ascii="Arial" w:hAnsi="Arial" w:cs="Arial"/>
          <w:lang w:val="nl-BE"/>
        </w:rPr>
      </w:pPr>
      <w:r w:rsidRPr="003D2BB8">
        <w:rPr>
          <w:rFonts w:ascii="Arial" w:hAnsi="Arial" w:cs="Arial"/>
          <w:lang w:val="nl-BE"/>
        </w:rPr>
        <w:t>□</w:t>
      </w:r>
      <w:r w:rsidRPr="003D2BB8">
        <w:rPr>
          <w:rFonts w:ascii="Arial" w:hAnsi="Arial" w:cs="Arial"/>
          <w:lang w:val="nl-BE"/>
        </w:rPr>
        <w:tab/>
        <w:t>N2 (7–15 nodes)</w:t>
      </w:r>
    </w:p>
    <w:p w:rsidR="00CE0618" w:rsidRPr="003D2BB8" w:rsidRDefault="00CE0618" w:rsidP="00CE0618">
      <w:pPr>
        <w:ind w:firstLine="720"/>
        <w:rPr>
          <w:rFonts w:ascii="Arial" w:hAnsi="Arial" w:cs="Arial"/>
          <w:lang w:val="nl-BE"/>
        </w:rPr>
      </w:pPr>
      <w:r w:rsidRPr="003D2BB8">
        <w:rPr>
          <w:rFonts w:ascii="Arial" w:hAnsi="Arial" w:cs="Arial"/>
          <w:lang w:val="nl-BE"/>
        </w:rPr>
        <w:t>□</w:t>
      </w:r>
      <w:r w:rsidRPr="003D2BB8">
        <w:rPr>
          <w:rFonts w:ascii="Arial" w:hAnsi="Arial" w:cs="Arial"/>
          <w:lang w:val="nl-BE"/>
        </w:rPr>
        <w:tab/>
        <w:t>N3 (&gt;15 nodes)</w:t>
      </w:r>
    </w:p>
    <w:p w:rsidR="00CE0618" w:rsidRPr="003D2BB8" w:rsidRDefault="00CE0618" w:rsidP="00CE0618">
      <w:pPr>
        <w:rPr>
          <w:rFonts w:ascii="Arial" w:hAnsi="Arial" w:cs="Arial"/>
          <w:lang w:val="nl-BE"/>
        </w:rPr>
      </w:pPr>
    </w:p>
    <w:p w:rsidR="00CE0618" w:rsidRPr="003D2BB8" w:rsidRDefault="00CE0618" w:rsidP="00CE0618">
      <w:pPr>
        <w:spacing w:after="60"/>
        <w:ind w:firstLine="720"/>
        <w:rPr>
          <w:rFonts w:ascii="Arial" w:hAnsi="Arial" w:cs="Arial"/>
        </w:rPr>
      </w:pPr>
      <w:r w:rsidRPr="003D2BB8">
        <w:rPr>
          <w:rFonts w:ascii="Arial" w:hAnsi="Arial" w:cs="Arial"/>
        </w:rPr>
        <w:t>Number examined:</w:t>
      </w:r>
      <w:r w:rsidRPr="003D2BB8">
        <w:rPr>
          <w:rFonts w:ascii="Arial" w:hAnsi="Arial" w:cs="Arial"/>
        </w:rPr>
        <w:tab/>
        <w:t>_______________</w:t>
      </w:r>
    </w:p>
    <w:p w:rsidR="00CE0618" w:rsidRPr="003D2BB8" w:rsidRDefault="00CE0618" w:rsidP="00CE0618">
      <w:pPr>
        <w:spacing w:line="360" w:lineRule="auto"/>
        <w:ind w:firstLine="720"/>
        <w:rPr>
          <w:rFonts w:ascii="Arial" w:hAnsi="Arial" w:cs="Arial"/>
        </w:rPr>
      </w:pPr>
      <w:r w:rsidRPr="003D2BB8">
        <w:rPr>
          <w:rFonts w:ascii="Arial" w:hAnsi="Arial" w:cs="Arial"/>
        </w:rPr>
        <w:t>Number positive:</w:t>
      </w:r>
      <w:r w:rsidRPr="003D2BB8">
        <w:rPr>
          <w:rFonts w:ascii="Arial" w:hAnsi="Arial" w:cs="Arial"/>
        </w:rPr>
        <w:tab/>
        <w:t>_______________</w:t>
      </w:r>
    </w:p>
    <w:p w:rsidR="00CE0618" w:rsidRPr="003D2BB8" w:rsidRDefault="00CE0618" w:rsidP="00CE0618">
      <w:pPr>
        <w:tabs>
          <w:tab w:val="left" w:pos="1701"/>
          <w:tab w:val="left" w:pos="2268"/>
          <w:tab w:val="left" w:pos="3828"/>
        </w:tabs>
        <w:rPr>
          <w:rFonts w:ascii="Arial" w:hAnsi="Arial" w:cs="Arial"/>
        </w:rPr>
      </w:pPr>
    </w:p>
    <w:p w:rsidR="00CE0618" w:rsidRPr="003D2BB8" w:rsidRDefault="00CE0618" w:rsidP="00CE0618">
      <w:pPr>
        <w:tabs>
          <w:tab w:val="left" w:pos="1701"/>
          <w:tab w:val="left" w:pos="2268"/>
          <w:tab w:val="left" w:pos="3969"/>
        </w:tabs>
        <w:rPr>
          <w:rFonts w:ascii="Arial" w:hAnsi="Arial" w:cs="Arial"/>
        </w:rPr>
      </w:pPr>
      <w:r w:rsidRPr="003D2BB8">
        <w:rPr>
          <w:rFonts w:ascii="Arial" w:hAnsi="Arial" w:cs="Arial"/>
          <w:b/>
          <w:bCs/>
        </w:rPr>
        <w:t>Distant metastases</w:t>
      </w:r>
    </w:p>
    <w:p w:rsidR="00CE0618" w:rsidRPr="003D2BB8" w:rsidRDefault="00CE0618" w:rsidP="00CE0618">
      <w:pPr>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No (M0)</w:t>
      </w:r>
    </w:p>
    <w:p w:rsidR="00CE0618" w:rsidRPr="003D2BB8" w:rsidRDefault="00CE0618" w:rsidP="00CE0618">
      <w:pPr>
        <w:ind w:firstLine="720"/>
        <w:rPr>
          <w:rFonts w:ascii="Arial" w:hAnsi="Arial" w:cs="Arial"/>
        </w:rPr>
      </w:pPr>
      <w:r w:rsidRPr="003D2BB8">
        <w:rPr>
          <w:rFonts w:ascii="Arial" w:hAnsi="Arial" w:cs="Arial"/>
          <w:lang w:val="en-US"/>
        </w:rPr>
        <w:lastRenderedPageBreak/>
        <w:t>□</w:t>
      </w:r>
      <w:r w:rsidRPr="003D2BB8">
        <w:rPr>
          <w:rFonts w:ascii="Arial" w:hAnsi="Arial" w:cs="Arial"/>
          <w:lang w:val="en-US"/>
        </w:rPr>
        <w:tab/>
      </w:r>
      <w:r w:rsidRPr="003D2BB8">
        <w:rPr>
          <w:rFonts w:ascii="Arial" w:hAnsi="Arial" w:cs="Arial"/>
        </w:rPr>
        <w:t>Yes (M1)</w:t>
      </w:r>
    </w:p>
    <w:p w:rsidR="00CE0618" w:rsidRPr="003D2BB8" w:rsidRDefault="00CE0618" w:rsidP="00CE0618">
      <w:pPr>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Unknown/cannot be assessed (MX)</w:t>
      </w:r>
    </w:p>
    <w:p w:rsidR="00CE0618" w:rsidRPr="003D2BB8" w:rsidRDefault="00CE0618" w:rsidP="00CE0618">
      <w:pPr>
        <w:rPr>
          <w:rFonts w:ascii="Arial" w:hAnsi="Arial" w:cs="Arial"/>
          <w:b/>
        </w:rPr>
      </w:pPr>
      <w:bookmarkStart w:id="14" w:name="Check22"/>
    </w:p>
    <w:p w:rsidR="00CE0618" w:rsidRPr="003D2BB8" w:rsidRDefault="00CE0618" w:rsidP="00CE0618">
      <w:pPr>
        <w:rPr>
          <w:rFonts w:ascii="Arial" w:hAnsi="Arial" w:cs="Arial"/>
          <w:b/>
        </w:rPr>
      </w:pPr>
      <w:r w:rsidRPr="003D2BB8">
        <w:rPr>
          <w:rFonts w:ascii="Arial" w:hAnsi="Arial" w:cs="Arial"/>
          <w:b/>
        </w:rPr>
        <w:t xml:space="preserve">Completeness of resection </w:t>
      </w:r>
    </w:p>
    <w:p w:rsidR="00CE0618" w:rsidRPr="003D2BB8" w:rsidRDefault="00CE0618" w:rsidP="00CE0618">
      <w:pPr>
        <w:ind w:firstLine="720"/>
        <w:rPr>
          <w:rFonts w:ascii="Arial" w:hAnsi="Arial" w:cs="Arial"/>
        </w:rPr>
      </w:pPr>
      <w:r w:rsidRPr="003D2BB8">
        <w:rPr>
          <w:rFonts w:ascii="Arial" w:hAnsi="Arial" w:cs="Arial"/>
          <w:lang w:val="en-US"/>
        </w:rPr>
        <w:t>□</w:t>
      </w:r>
      <w:r w:rsidRPr="003D2BB8">
        <w:rPr>
          <w:rFonts w:ascii="Arial" w:hAnsi="Arial" w:cs="Arial"/>
          <w:lang w:val="en-US"/>
        </w:rPr>
        <w:tab/>
      </w:r>
      <w:r w:rsidRPr="003D2BB8">
        <w:rPr>
          <w:rFonts w:ascii="Arial" w:hAnsi="Arial" w:cs="Arial"/>
        </w:rPr>
        <w:t>R0 - all margins clear</w:t>
      </w:r>
    </w:p>
    <w:p w:rsidR="00CE0618" w:rsidRPr="003D2BB8" w:rsidRDefault="00CE0618" w:rsidP="00CE0618">
      <w:pPr>
        <w:ind w:firstLine="720"/>
        <w:rPr>
          <w:rFonts w:ascii="Arial" w:hAnsi="Arial" w:cs="Arial"/>
          <w:lang w:val="en-US"/>
        </w:rPr>
      </w:pPr>
      <w:r w:rsidRPr="003D2BB8">
        <w:rPr>
          <w:rFonts w:ascii="Arial" w:hAnsi="Arial" w:cs="Arial"/>
          <w:lang w:val="en-US"/>
        </w:rPr>
        <w:t>□</w:t>
      </w:r>
      <w:r w:rsidRPr="003D2BB8">
        <w:rPr>
          <w:rFonts w:ascii="Arial" w:hAnsi="Arial" w:cs="Arial"/>
          <w:lang w:val="en-US"/>
        </w:rPr>
        <w:tab/>
      </w:r>
      <w:proofErr w:type="gramStart"/>
      <w:r w:rsidRPr="003D2BB8">
        <w:rPr>
          <w:rFonts w:ascii="Arial" w:hAnsi="Arial" w:cs="Arial"/>
          <w:lang w:val="en-US"/>
        </w:rPr>
        <w:t>R1  -</w:t>
      </w:r>
      <w:proofErr w:type="gramEnd"/>
      <w:r w:rsidRPr="003D2BB8">
        <w:rPr>
          <w:rFonts w:ascii="Arial" w:hAnsi="Arial" w:cs="Arial"/>
          <w:lang w:val="en-US"/>
        </w:rPr>
        <w:t xml:space="preserve"> macroscopically clear resection but microscopically positive margin(s)</w:t>
      </w:r>
    </w:p>
    <w:p w:rsidR="00CE0618" w:rsidRPr="003D2BB8" w:rsidRDefault="00CE0618" w:rsidP="00CE0618">
      <w:pPr>
        <w:autoSpaceDE w:val="0"/>
        <w:autoSpaceDN w:val="0"/>
        <w:adjustRightInd w:val="0"/>
        <w:ind w:firstLine="720"/>
        <w:rPr>
          <w:rFonts w:ascii="Arial" w:hAnsi="Arial" w:cs="Arial"/>
          <w:lang w:val="en-US"/>
        </w:rPr>
      </w:pPr>
      <w:r w:rsidRPr="003D2BB8">
        <w:rPr>
          <w:rFonts w:ascii="Arial" w:hAnsi="Arial" w:cs="Arial"/>
          <w:lang w:val="en-US"/>
        </w:rPr>
        <w:t>□</w:t>
      </w:r>
      <w:r w:rsidRPr="003D2BB8">
        <w:rPr>
          <w:rFonts w:ascii="Arial" w:hAnsi="Arial" w:cs="Arial"/>
          <w:lang w:val="en-US"/>
        </w:rPr>
        <w:tab/>
      </w:r>
      <w:proofErr w:type="gramStart"/>
      <w:r w:rsidRPr="003D2BB8">
        <w:rPr>
          <w:rFonts w:ascii="Arial" w:hAnsi="Arial" w:cs="Arial"/>
          <w:lang w:val="en-US"/>
        </w:rPr>
        <w:t>R2  -</w:t>
      </w:r>
      <w:proofErr w:type="gramEnd"/>
      <w:r w:rsidRPr="003D2BB8">
        <w:rPr>
          <w:rFonts w:ascii="Arial" w:hAnsi="Arial" w:cs="Arial"/>
          <w:lang w:val="en-US"/>
        </w:rPr>
        <w:t xml:space="preserve"> macroscopically positive margin(s)</w:t>
      </w:r>
      <w:bookmarkEnd w:id="14"/>
    </w:p>
    <w:p w:rsidR="00CE0618" w:rsidRPr="003D2BB8" w:rsidRDefault="00CE0618" w:rsidP="00CE0618">
      <w:pPr>
        <w:autoSpaceDE w:val="0"/>
        <w:autoSpaceDN w:val="0"/>
        <w:adjustRightInd w:val="0"/>
        <w:ind w:firstLine="720"/>
        <w:rPr>
          <w:rFonts w:ascii="Arial" w:hAnsi="Arial" w:cs="Arial"/>
          <w:lang w:val="en-US"/>
        </w:rPr>
      </w:pPr>
    </w:p>
    <w:p w:rsidR="00CE0618" w:rsidRPr="003D2BB8" w:rsidRDefault="00CE0618" w:rsidP="00CE0618">
      <w:pPr>
        <w:autoSpaceDE w:val="0"/>
        <w:autoSpaceDN w:val="0"/>
        <w:adjustRightInd w:val="0"/>
        <w:ind w:firstLine="720"/>
        <w:rPr>
          <w:rFonts w:ascii="Arial" w:hAnsi="Arial" w:cs="Arial"/>
          <w:lang w:val="en-US"/>
        </w:rPr>
      </w:pPr>
    </w:p>
    <w:p w:rsidR="00CE0618" w:rsidRPr="003D2BB8" w:rsidRDefault="00CE0618" w:rsidP="00CE0618">
      <w:pPr>
        <w:autoSpaceDE w:val="0"/>
        <w:autoSpaceDN w:val="0"/>
        <w:adjustRightInd w:val="0"/>
        <w:rPr>
          <w:rFonts w:ascii="Arial" w:hAnsi="Arial" w:cs="Arial"/>
          <w:b/>
        </w:rPr>
      </w:pPr>
      <w:r w:rsidRPr="003D2BB8">
        <w:rPr>
          <w:rFonts w:ascii="Arial" w:hAnsi="Arial" w:cs="Arial"/>
          <w:b/>
        </w:rPr>
        <w:t>PATHOLOGICAL STAGING</w:t>
      </w:r>
    </w:p>
    <w:p w:rsidR="00CE0618" w:rsidRPr="003D2BB8" w:rsidRDefault="00CE0618" w:rsidP="00CE0618">
      <w:pPr>
        <w:rPr>
          <w:rFonts w:ascii="Arial" w:hAnsi="Arial" w:cs="Arial"/>
          <w:b/>
        </w:rPr>
      </w:pPr>
    </w:p>
    <w:p w:rsidR="00CE0618" w:rsidRPr="003D2BB8" w:rsidRDefault="00CE0618" w:rsidP="00CE0618">
      <w:pPr>
        <w:rPr>
          <w:rFonts w:ascii="Arial" w:hAnsi="Arial" w:cs="Arial"/>
        </w:rPr>
      </w:pPr>
      <w:r w:rsidRPr="003D2BB8">
        <w:rPr>
          <w:rFonts w:ascii="Arial" w:hAnsi="Arial" w:cs="Arial"/>
          <w:b/>
        </w:rPr>
        <w:t xml:space="preserve">(y) </w:t>
      </w:r>
      <w:proofErr w:type="spellStart"/>
      <w:proofErr w:type="gramStart"/>
      <w:r w:rsidRPr="003D2BB8">
        <w:rPr>
          <w:rFonts w:ascii="Arial" w:hAnsi="Arial" w:cs="Arial"/>
          <w:b/>
        </w:rPr>
        <w:t>pT</w:t>
      </w:r>
      <w:proofErr w:type="spellEnd"/>
      <w:proofErr w:type="gramEnd"/>
      <w:r w:rsidRPr="003D2BB8">
        <w:rPr>
          <w:rFonts w:ascii="Arial" w:hAnsi="Arial" w:cs="Arial"/>
          <w:b/>
        </w:rPr>
        <w:t>___</w:t>
      </w:r>
      <w:r w:rsidRPr="003D2BB8">
        <w:rPr>
          <w:rFonts w:ascii="Arial" w:hAnsi="Arial" w:cs="Arial"/>
          <w:b/>
        </w:rPr>
        <w:tab/>
      </w:r>
      <w:r w:rsidRPr="003D2BB8">
        <w:rPr>
          <w:rFonts w:ascii="Arial" w:hAnsi="Arial" w:cs="Arial"/>
          <w:b/>
        </w:rPr>
        <w:tab/>
      </w:r>
      <w:proofErr w:type="spellStart"/>
      <w:r w:rsidRPr="003D2BB8">
        <w:rPr>
          <w:rFonts w:ascii="Arial" w:hAnsi="Arial" w:cs="Arial"/>
          <w:b/>
        </w:rPr>
        <w:t>pN</w:t>
      </w:r>
      <w:proofErr w:type="spellEnd"/>
      <w:r w:rsidRPr="003D2BB8">
        <w:rPr>
          <w:rFonts w:ascii="Arial" w:hAnsi="Arial" w:cs="Arial"/>
          <w:b/>
        </w:rPr>
        <w:t>___</w:t>
      </w:r>
      <w:r w:rsidRPr="003D2BB8">
        <w:rPr>
          <w:rFonts w:ascii="Arial" w:hAnsi="Arial" w:cs="Arial"/>
          <w:b/>
        </w:rPr>
        <w:tab/>
      </w:r>
      <w:r w:rsidRPr="003D2BB8">
        <w:rPr>
          <w:rFonts w:ascii="Arial" w:hAnsi="Arial" w:cs="Arial"/>
          <w:b/>
        </w:rPr>
        <w:tab/>
      </w:r>
      <w:r w:rsidRPr="003D2BB8">
        <w:rPr>
          <w:rFonts w:ascii="Arial" w:hAnsi="Arial" w:cs="Arial"/>
          <w:b/>
        </w:rPr>
        <w:tab/>
      </w:r>
      <w:r w:rsidRPr="003D2BB8">
        <w:rPr>
          <w:rFonts w:ascii="Arial" w:hAnsi="Arial" w:cs="Arial"/>
          <w:b/>
        </w:rPr>
        <w:tab/>
      </w:r>
      <w:proofErr w:type="spellStart"/>
      <w:r w:rsidRPr="003D2BB8">
        <w:rPr>
          <w:rFonts w:ascii="Arial" w:hAnsi="Arial" w:cs="Arial"/>
          <w:b/>
        </w:rPr>
        <w:t>pM</w:t>
      </w:r>
      <w:proofErr w:type="spellEnd"/>
      <w:r w:rsidRPr="003D2BB8">
        <w:rPr>
          <w:rFonts w:ascii="Arial" w:hAnsi="Arial" w:cs="Arial"/>
          <w:b/>
        </w:rPr>
        <w:t>___</w:t>
      </w:r>
      <w:r w:rsidRPr="003D2BB8">
        <w:rPr>
          <w:rFonts w:ascii="Arial" w:hAnsi="Arial" w:cs="Arial"/>
          <w:b/>
        </w:rPr>
        <w:tab/>
      </w:r>
      <w:r w:rsidRPr="003D2BB8">
        <w:rPr>
          <w:rFonts w:ascii="Arial" w:hAnsi="Arial" w:cs="Arial"/>
          <w:b/>
        </w:rPr>
        <w:tab/>
      </w:r>
      <w:r w:rsidRPr="003D2BB8">
        <w:rPr>
          <w:rFonts w:ascii="Arial" w:hAnsi="Arial" w:cs="Arial"/>
        </w:rPr>
        <w:t>(TNM 5</w:t>
      </w:r>
      <w:r w:rsidRPr="003D2BB8">
        <w:rPr>
          <w:rFonts w:ascii="Arial" w:hAnsi="Arial" w:cs="Arial"/>
          <w:vertAlign w:val="superscript"/>
        </w:rPr>
        <w:t>th</w:t>
      </w:r>
      <w:r w:rsidRPr="003D2BB8">
        <w:rPr>
          <w:rFonts w:ascii="Arial" w:hAnsi="Arial" w:cs="Arial"/>
        </w:rPr>
        <w:t xml:space="preserve"> edition)</w:t>
      </w:r>
    </w:p>
    <w:p w:rsidR="00CE0618" w:rsidRPr="003D2BB8" w:rsidRDefault="00CE0618" w:rsidP="00CE0618">
      <w:pPr>
        <w:rPr>
          <w:rFonts w:ascii="Arial" w:hAnsi="Arial" w:cs="Arial"/>
        </w:rPr>
      </w:pPr>
    </w:p>
    <w:p w:rsidR="00CE0618" w:rsidRPr="003D2BB8" w:rsidRDefault="00CE0618" w:rsidP="00CE0618">
      <w:pPr>
        <w:rPr>
          <w:rFonts w:ascii="Arial" w:hAnsi="Arial" w:cs="Arial"/>
        </w:rPr>
      </w:pPr>
      <w:r w:rsidRPr="003D2BB8">
        <w:rPr>
          <w:rFonts w:ascii="Arial" w:hAnsi="Arial" w:cs="Arial"/>
          <w:b/>
        </w:rPr>
        <w:t xml:space="preserve">(y) </w:t>
      </w:r>
      <w:proofErr w:type="spellStart"/>
      <w:proofErr w:type="gramStart"/>
      <w:r w:rsidRPr="003D2BB8">
        <w:rPr>
          <w:rFonts w:ascii="Arial" w:hAnsi="Arial" w:cs="Arial"/>
          <w:b/>
        </w:rPr>
        <w:t>pT</w:t>
      </w:r>
      <w:proofErr w:type="spellEnd"/>
      <w:proofErr w:type="gramEnd"/>
      <w:r w:rsidRPr="003D2BB8">
        <w:rPr>
          <w:rFonts w:ascii="Arial" w:hAnsi="Arial" w:cs="Arial"/>
          <w:b/>
        </w:rPr>
        <w:t>___</w:t>
      </w:r>
      <w:r w:rsidRPr="003D2BB8">
        <w:rPr>
          <w:rFonts w:ascii="Arial" w:hAnsi="Arial" w:cs="Arial"/>
          <w:b/>
        </w:rPr>
        <w:tab/>
      </w:r>
      <w:r w:rsidRPr="003D2BB8">
        <w:rPr>
          <w:rFonts w:ascii="Arial" w:hAnsi="Arial" w:cs="Arial"/>
          <w:b/>
        </w:rPr>
        <w:tab/>
      </w:r>
      <w:proofErr w:type="spellStart"/>
      <w:r w:rsidRPr="003D2BB8">
        <w:rPr>
          <w:rFonts w:ascii="Arial" w:hAnsi="Arial" w:cs="Arial"/>
          <w:b/>
        </w:rPr>
        <w:t>pN</w:t>
      </w:r>
      <w:proofErr w:type="spellEnd"/>
      <w:r w:rsidRPr="003D2BB8">
        <w:rPr>
          <w:rFonts w:ascii="Arial" w:hAnsi="Arial" w:cs="Arial"/>
          <w:b/>
        </w:rPr>
        <w:t>___</w:t>
      </w:r>
      <w:r w:rsidRPr="003D2BB8">
        <w:rPr>
          <w:rFonts w:ascii="Arial" w:hAnsi="Arial" w:cs="Arial"/>
          <w:b/>
        </w:rPr>
        <w:tab/>
      </w:r>
      <w:r w:rsidRPr="003D2BB8">
        <w:rPr>
          <w:rFonts w:ascii="Arial" w:hAnsi="Arial" w:cs="Arial"/>
          <w:b/>
        </w:rPr>
        <w:tab/>
        <w:t>(</w:t>
      </w:r>
      <w:proofErr w:type="spellStart"/>
      <w:r w:rsidRPr="003D2BB8">
        <w:rPr>
          <w:rFonts w:ascii="Arial" w:hAnsi="Arial" w:cs="Arial"/>
          <w:b/>
        </w:rPr>
        <w:t>i</w:t>
      </w:r>
      <w:proofErr w:type="spellEnd"/>
      <w:r w:rsidRPr="003D2BB8">
        <w:rPr>
          <w:rFonts w:ascii="Arial" w:hAnsi="Arial" w:cs="Arial"/>
          <w:b/>
        </w:rPr>
        <w:t>+/-)</w:t>
      </w:r>
      <w:r w:rsidRPr="003D2BB8">
        <w:rPr>
          <w:rFonts w:ascii="Arial" w:hAnsi="Arial" w:cs="Arial"/>
          <w:b/>
        </w:rPr>
        <w:tab/>
      </w:r>
      <w:r w:rsidRPr="003D2BB8">
        <w:rPr>
          <w:rFonts w:ascii="Arial" w:hAnsi="Arial" w:cs="Arial"/>
          <w:b/>
        </w:rPr>
        <w:tab/>
      </w:r>
      <w:proofErr w:type="spellStart"/>
      <w:r w:rsidRPr="003D2BB8">
        <w:rPr>
          <w:rFonts w:ascii="Arial" w:hAnsi="Arial" w:cs="Arial"/>
          <w:b/>
        </w:rPr>
        <w:t>pM</w:t>
      </w:r>
      <w:proofErr w:type="spellEnd"/>
      <w:r w:rsidRPr="003D2BB8">
        <w:rPr>
          <w:rFonts w:ascii="Arial" w:hAnsi="Arial" w:cs="Arial"/>
          <w:b/>
        </w:rPr>
        <w:t>___</w:t>
      </w:r>
      <w:r w:rsidRPr="003D2BB8">
        <w:rPr>
          <w:rFonts w:ascii="Arial" w:hAnsi="Arial" w:cs="Arial"/>
          <w:b/>
        </w:rPr>
        <w:tab/>
      </w:r>
      <w:r w:rsidRPr="003D2BB8">
        <w:rPr>
          <w:rFonts w:ascii="Arial" w:hAnsi="Arial" w:cs="Arial"/>
          <w:b/>
        </w:rPr>
        <w:tab/>
      </w:r>
      <w:r w:rsidRPr="003D2BB8">
        <w:rPr>
          <w:rFonts w:ascii="Arial" w:hAnsi="Arial" w:cs="Arial"/>
        </w:rPr>
        <w:t>(TNM 6</w:t>
      </w:r>
      <w:r w:rsidRPr="003D2BB8">
        <w:rPr>
          <w:rFonts w:ascii="Arial" w:hAnsi="Arial" w:cs="Arial"/>
          <w:vertAlign w:val="superscript"/>
        </w:rPr>
        <w:t>th</w:t>
      </w:r>
      <w:r w:rsidRPr="003D2BB8">
        <w:rPr>
          <w:rFonts w:ascii="Arial" w:hAnsi="Arial" w:cs="Arial"/>
        </w:rPr>
        <w:t xml:space="preserve"> edition) </w:t>
      </w:r>
    </w:p>
    <w:p w:rsidR="00CE0618" w:rsidRPr="003D2BB8" w:rsidRDefault="00CE0618" w:rsidP="00CE0618">
      <w:pPr>
        <w:rPr>
          <w:rFonts w:ascii="Arial" w:hAnsi="Arial" w:cs="Arial"/>
        </w:rPr>
      </w:pPr>
    </w:p>
    <w:p w:rsidR="00CE0618" w:rsidRPr="000D611D" w:rsidRDefault="00CE0618" w:rsidP="00CE0618">
      <w:pPr>
        <w:jc w:val="center"/>
        <w:rPr>
          <w:rFonts w:ascii="Arial" w:hAnsi="Arial" w:cs="Arial"/>
          <w:b/>
        </w:rPr>
      </w:pPr>
      <w:r w:rsidRPr="003D2BB8">
        <w:rPr>
          <w:rFonts w:ascii="Arial" w:hAnsi="Arial" w:cs="Arial"/>
        </w:rPr>
        <w:t>(“y” post neoadjuvant therapy, “</w:t>
      </w:r>
      <w:proofErr w:type="spellStart"/>
      <w:r w:rsidRPr="003D2BB8">
        <w:rPr>
          <w:rFonts w:ascii="Arial" w:hAnsi="Arial" w:cs="Arial"/>
        </w:rPr>
        <w:t>i</w:t>
      </w:r>
      <w:proofErr w:type="spellEnd"/>
      <w:r w:rsidRPr="003D2BB8">
        <w:rPr>
          <w:rFonts w:ascii="Arial" w:hAnsi="Arial" w:cs="Arial"/>
        </w:rPr>
        <w:t>” – isolated tumour cells)</w:t>
      </w:r>
    </w:p>
    <w:p w:rsidR="00CE0618" w:rsidRPr="00FE1A60" w:rsidRDefault="00CE0618" w:rsidP="00CE0618">
      <w:pPr>
        <w:rPr>
          <w:rFonts w:ascii="Arial" w:hAnsi="Arial" w:cs="Arial"/>
          <w:bCs/>
        </w:rPr>
      </w:pPr>
    </w:p>
    <w:p w:rsidR="00CE0618" w:rsidRPr="00FE1A60" w:rsidRDefault="00CE0618" w:rsidP="00CE0618">
      <w:pPr>
        <w:rPr>
          <w:rFonts w:ascii="Arial" w:hAnsi="Arial" w:cs="Arial"/>
        </w:rPr>
      </w:pPr>
    </w:p>
    <w:p w:rsidR="00CE0618" w:rsidRDefault="00CE0618" w:rsidP="00CE0618"/>
    <w:p w:rsidR="00CE0618" w:rsidRPr="00F457FC" w:rsidRDefault="00CE0618" w:rsidP="00CE0618">
      <w:pPr>
        <w:rPr>
          <w:sz w:val="24"/>
          <w:szCs w:val="24"/>
        </w:rPr>
      </w:pPr>
    </w:p>
    <w:p w:rsidR="00CE0618" w:rsidRDefault="00CE0618" w:rsidP="00CE0618"/>
    <w:p w:rsidR="00634ED9" w:rsidRDefault="00634ED9"/>
    <w:sectPr w:rsidR="00634ED9" w:rsidSect="000668C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618" w:rsidRDefault="00CE0618" w:rsidP="00CE0618">
      <w:pPr>
        <w:spacing w:after="0" w:line="240" w:lineRule="auto"/>
      </w:pPr>
      <w:r>
        <w:separator/>
      </w:r>
    </w:p>
  </w:endnote>
  <w:endnote w:type="continuationSeparator" w:id="0">
    <w:p w:rsidR="00CE0618" w:rsidRDefault="00CE0618" w:rsidP="00CE0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TNEJMQuadraat">
    <w:altName w:val="MS Mincho"/>
    <w:panose1 w:val="00000000000000000000"/>
    <w:charset w:val="80"/>
    <w:family w:val="auto"/>
    <w:notTrueType/>
    <w:pitch w:val="default"/>
    <w:sig w:usb0="00000001" w:usb1="080F0000" w:usb2="00000010" w:usb3="00000000" w:csb0="00060000" w:csb1="00000000"/>
  </w:font>
  <w:font w:name="MS Mincho">
    <w:altName w:val="ＭＳ 明朝"/>
    <w:panose1 w:val="02020609040205080304"/>
    <w:charset w:val="80"/>
    <w:family w:val="modern"/>
    <w:pitch w:val="fixed"/>
    <w:sig w:usb0="E00002FF" w:usb1="6AC7FDFB" w:usb2="00000012" w:usb3="00000000" w:csb0="0002009F" w:csb1="00000000"/>
  </w:font>
  <w:font w:name="AdvP44F0B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8C" w:rsidRDefault="00CE0618">
    <w:pPr>
      <w:pStyle w:val="Footer"/>
    </w:pPr>
    <w:r>
      <w:t>FIG Protocol V.1.0, dated 17 June</w:t>
    </w:r>
    <w:r w:rsidR="00CA1F34" w:rsidRPr="003D2BB8">
      <w:t xml:space="preserv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88" w:rsidRDefault="00D572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88" w:rsidRDefault="00D572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88" w:rsidRDefault="00D57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618" w:rsidRDefault="00CE0618" w:rsidP="00CE0618">
      <w:pPr>
        <w:spacing w:after="0" w:line="240" w:lineRule="auto"/>
      </w:pPr>
      <w:r>
        <w:separator/>
      </w:r>
    </w:p>
  </w:footnote>
  <w:footnote w:type="continuationSeparator" w:id="0">
    <w:p w:rsidR="00CE0618" w:rsidRDefault="00CE0618" w:rsidP="00CE06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28062387"/>
      <w:docPartObj>
        <w:docPartGallery w:val="Page Numbers (Top of Page)"/>
        <w:docPartUnique/>
      </w:docPartObj>
    </w:sdtPr>
    <w:sdtEndPr>
      <w:rPr>
        <w:b/>
        <w:bCs/>
        <w:noProof/>
        <w:color w:val="auto"/>
        <w:spacing w:val="0"/>
      </w:rPr>
    </w:sdtEndPr>
    <w:sdtContent>
      <w:p w:rsidR="00086A38" w:rsidRDefault="00CA1F34">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D572FD" w:rsidRPr="00D572FD">
          <w:rPr>
            <w:b/>
            <w:bCs/>
            <w:noProof/>
          </w:rPr>
          <w:t>10</w:t>
        </w:r>
        <w:r>
          <w:rPr>
            <w:b/>
            <w:bCs/>
            <w:noProof/>
          </w:rPr>
          <w:fldChar w:fldCharType="end"/>
        </w:r>
      </w:p>
    </w:sdtContent>
  </w:sdt>
  <w:p w:rsidR="00086A38" w:rsidRDefault="00D572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88" w:rsidRDefault="00D572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88" w:rsidRPr="00D437D4" w:rsidRDefault="00CA1F34" w:rsidP="00CD405C">
    <w:pPr>
      <w:pStyle w:val="Header"/>
      <w:jc w:val="center"/>
      <w:rPr>
        <w:rFonts w:ascii="Arial" w:hAnsi="Arial" w:cs="Arial"/>
        <w:b/>
        <w:sz w:val="22"/>
        <w:szCs w:val="22"/>
      </w:rPr>
    </w:pPr>
    <w:r>
      <w:rPr>
        <w:rFonts w:ascii="Arial" w:hAnsi="Arial" w:cs="Arial"/>
        <w:b/>
        <w:sz w:val="22"/>
        <w:szCs w:val="22"/>
      </w:rPr>
      <w:t>Appendix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488" w:rsidRDefault="00D572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30C14"/>
    <w:multiLevelType w:val="singleLevel"/>
    <w:tmpl w:val="510A61DA"/>
    <w:lvl w:ilvl="0">
      <w:start w:val="1"/>
      <w:numFmt w:val="bullet"/>
      <w:lvlText w:val=""/>
      <w:lvlJc w:val="left"/>
      <w:pPr>
        <w:tabs>
          <w:tab w:val="num" w:pos="357"/>
        </w:tabs>
        <w:ind w:left="357" w:hanging="357"/>
      </w:pPr>
      <w:rPr>
        <w:rFonts w:ascii="Symbol" w:hAnsi="Symbol" w:hint="default"/>
      </w:rPr>
    </w:lvl>
  </w:abstractNum>
  <w:abstractNum w:abstractNumId="1">
    <w:nsid w:val="1FBD411B"/>
    <w:multiLevelType w:val="singleLevel"/>
    <w:tmpl w:val="0ED8C93C"/>
    <w:lvl w:ilvl="0">
      <w:start w:val="1"/>
      <w:numFmt w:val="bullet"/>
      <w:lvlText w:val=""/>
      <w:lvlJc w:val="left"/>
      <w:pPr>
        <w:tabs>
          <w:tab w:val="num" w:pos="357"/>
        </w:tabs>
        <w:ind w:left="357" w:hanging="357"/>
      </w:pPr>
      <w:rPr>
        <w:rFonts w:ascii="Symbol" w:hAnsi="Symbol" w:cs="Courier New" w:hint="default"/>
      </w:rPr>
    </w:lvl>
  </w:abstractNum>
  <w:abstractNum w:abstractNumId="2">
    <w:nsid w:val="6D162B69"/>
    <w:multiLevelType w:val="singleLevel"/>
    <w:tmpl w:val="0ED8C93C"/>
    <w:lvl w:ilvl="0">
      <w:start w:val="1"/>
      <w:numFmt w:val="bullet"/>
      <w:lvlText w:val=""/>
      <w:lvlJc w:val="left"/>
      <w:pPr>
        <w:tabs>
          <w:tab w:val="num" w:pos="357"/>
        </w:tabs>
        <w:ind w:left="357" w:hanging="357"/>
      </w:pPr>
      <w:rPr>
        <w:rFonts w:ascii="Symbol" w:hAnsi="Symbol" w:cs="Courier New"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18"/>
    <w:rsid w:val="00634ED9"/>
    <w:rsid w:val="00CA1F34"/>
    <w:rsid w:val="00CE0618"/>
    <w:rsid w:val="00D572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18"/>
    <w:rPr>
      <w:rFonts w:ascii="Calibri" w:eastAsia="Calibri" w:hAnsi="Calibri" w:cs="Times New Roman"/>
    </w:rPr>
  </w:style>
  <w:style w:type="paragraph" w:styleId="Heading1">
    <w:name w:val="heading 1"/>
    <w:basedOn w:val="Normal"/>
    <w:next w:val="Normal"/>
    <w:link w:val="Heading1Char"/>
    <w:qFormat/>
    <w:rsid w:val="00CE0618"/>
    <w:pPr>
      <w:keepNext/>
      <w:overflowPunct w:val="0"/>
      <w:autoSpaceDE w:val="0"/>
      <w:autoSpaceDN w:val="0"/>
      <w:adjustRightInd w:val="0"/>
      <w:spacing w:after="0" w:line="240" w:lineRule="auto"/>
      <w:jc w:val="both"/>
      <w:textAlignment w:val="baseline"/>
      <w:outlineLvl w:val="0"/>
    </w:pPr>
    <w:rPr>
      <w:rFonts w:ascii="Garamond" w:eastAsia="Times New Roman" w:hAnsi="Garamond"/>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0618"/>
    <w:rPr>
      <w:rFonts w:ascii="Garamond" w:eastAsia="Times New Roman" w:hAnsi="Garamond" w:cs="Times New Roman"/>
      <w:b/>
      <w:bCs/>
      <w:sz w:val="24"/>
      <w:szCs w:val="24"/>
      <w:lang w:val="en-GB"/>
    </w:rPr>
  </w:style>
  <w:style w:type="character" w:customStyle="1" w:styleId="apple-converted-space">
    <w:name w:val="apple-converted-space"/>
    <w:rsid w:val="00CE0618"/>
  </w:style>
  <w:style w:type="character" w:styleId="Emphasis">
    <w:name w:val="Emphasis"/>
    <w:uiPriority w:val="20"/>
    <w:qFormat/>
    <w:rsid w:val="00CE0618"/>
    <w:rPr>
      <w:i/>
      <w:iCs/>
    </w:rPr>
  </w:style>
  <w:style w:type="paragraph" w:customStyle="1" w:styleId="Listlevel1">
    <w:name w:val="List level 1"/>
    <w:basedOn w:val="Normal"/>
    <w:link w:val="Listlevel1Char1"/>
    <w:rsid w:val="00CE0618"/>
    <w:pPr>
      <w:spacing w:before="40" w:after="20" w:line="240" w:lineRule="auto"/>
      <w:ind w:left="425" w:hanging="425"/>
    </w:pPr>
    <w:rPr>
      <w:rFonts w:ascii="Times New Roman" w:eastAsia="Times New Roman" w:hAnsi="Times New Roman"/>
      <w:sz w:val="24"/>
      <w:szCs w:val="20"/>
      <w:lang w:val="en-US"/>
    </w:rPr>
  </w:style>
  <w:style w:type="character" w:customStyle="1" w:styleId="Listlevel1Char1">
    <w:name w:val="List level 1 Char1"/>
    <w:link w:val="Listlevel1"/>
    <w:rsid w:val="00CE0618"/>
    <w:rPr>
      <w:rFonts w:ascii="Times New Roman" w:eastAsia="Times New Roman" w:hAnsi="Times New Roman" w:cs="Times New Roman"/>
      <w:sz w:val="24"/>
      <w:szCs w:val="20"/>
      <w:lang w:val="en-US"/>
    </w:rPr>
  </w:style>
  <w:style w:type="paragraph" w:customStyle="1" w:styleId="Listlevel2">
    <w:name w:val="List level 2"/>
    <w:basedOn w:val="Listlevel1"/>
    <w:rsid w:val="00CE0618"/>
    <w:pPr>
      <w:ind w:left="850"/>
    </w:pPr>
  </w:style>
  <w:style w:type="character" w:styleId="Strong">
    <w:name w:val="Strong"/>
    <w:uiPriority w:val="22"/>
    <w:qFormat/>
    <w:rsid w:val="00CE0618"/>
    <w:rPr>
      <w:b/>
      <w:bCs/>
    </w:rPr>
  </w:style>
  <w:style w:type="paragraph" w:styleId="Header">
    <w:name w:val="header"/>
    <w:basedOn w:val="Normal"/>
    <w:link w:val="HeaderChar"/>
    <w:uiPriority w:val="99"/>
    <w:rsid w:val="00CE0618"/>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CE0618"/>
    <w:rPr>
      <w:rFonts w:ascii="Times New Roman" w:eastAsia="Times New Roman" w:hAnsi="Times New Roman" w:cs="Times New Roman"/>
      <w:sz w:val="20"/>
      <w:szCs w:val="20"/>
      <w:lang w:val="en-GB"/>
    </w:rPr>
  </w:style>
  <w:style w:type="paragraph" w:styleId="Footer">
    <w:name w:val="footer"/>
    <w:basedOn w:val="Normal"/>
    <w:link w:val="FooterChar"/>
    <w:rsid w:val="00CE0618"/>
    <w:pPr>
      <w:tabs>
        <w:tab w:val="center" w:pos="4513"/>
        <w:tab w:val="right" w:pos="9026"/>
      </w:tabs>
      <w:spacing w:after="0" w:line="240" w:lineRule="auto"/>
    </w:pPr>
    <w:rPr>
      <w:rFonts w:ascii="Times New Roman" w:eastAsia="Times New Roman" w:hAnsi="Times New Roman"/>
      <w:sz w:val="20"/>
      <w:szCs w:val="20"/>
      <w:lang w:val="en-GB"/>
    </w:rPr>
  </w:style>
  <w:style w:type="character" w:customStyle="1" w:styleId="FooterChar">
    <w:name w:val="Footer Char"/>
    <w:basedOn w:val="DefaultParagraphFont"/>
    <w:link w:val="Footer"/>
    <w:rsid w:val="00CE0618"/>
    <w:rPr>
      <w:rFonts w:ascii="Times New Roman" w:eastAsia="Times New Roman" w:hAnsi="Times New Roman" w:cs="Times New Roman"/>
      <w:sz w:val="20"/>
      <w:szCs w:val="20"/>
      <w:lang w:val="en-GB"/>
    </w:rPr>
  </w:style>
  <w:style w:type="paragraph" w:styleId="BodyTextIndent">
    <w:name w:val="Body Text Indent"/>
    <w:basedOn w:val="Normal"/>
    <w:link w:val="BodyTextIndentChar"/>
    <w:rsid w:val="00CE0618"/>
    <w:pPr>
      <w:spacing w:after="120" w:line="240" w:lineRule="auto"/>
      <w:ind w:left="283"/>
    </w:pPr>
    <w:rPr>
      <w:rFonts w:ascii="Times New Roman" w:eastAsia="Times New Roman" w:hAnsi="Times New Roman"/>
      <w:sz w:val="24"/>
      <w:szCs w:val="24"/>
      <w:lang w:eastAsia="en-AU"/>
    </w:rPr>
  </w:style>
  <w:style w:type="character" w:customStyle="1" w:styleId="BodyTextIndentChar">
    <w:name w:val="Body Text Indent Char"/>
    <w:basedOn w:val="DefaultParagraphFont"/>
    <w:link w:val="BodyTextIndent"/>
    <w:rsid w:val="00CE0618"/>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18"/>
    <w:rPr>
      <w:rFonts w:ascii="Calibri" w:eastAsia="Calibri" w:hAnsi="Calibri" w:cs="Times New Roman"/>
    </w:rPr>
  </w:style>
  <w:style w:type="paragraph" w:styleId="Heading1">
    <w:name w:val="heading 1"/>
    <w:basedOn w:val="Normal"/>
    <w:next w:val="Normal"/>
    <w:link w:val="Heading1Char"/>
    <w:qFormat/>
    <w:rsid w:val="00CE0618"/>
    <w:pPr>
      <w:keepNext/>
      <w:overflowPunct w:val="0"/>
      <w:autoSpaceDE w:val="0"/>
      <w:autoSpaceDN w:val="0"/>
      <w:adjustRightInd w:val="0"/>
      <w:spacing w:after="0" w:line="240" w:lineRule="auto"/>
      <w:jc w:val="both"/>
      <w:textAlignment w:val="baseline"/>
      <w:outlineLvl w:val="0"/>
    </w:pPr>
    <w:rPr>
      <w:rFonts w:ascii="Garamond" w:eastAsia="Times New Roman" w:hAnsi="Garamond"/>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0618"/>
    <w:rPr>
      <w:rFonts w:ascii="Garamond" w:eastAsia="Times New Roman" w:hAnsi="Garamond" w:cs="Times New Roman"/>
      <w:b/>
      <w:bCs/>
      <w:sz w:val="24"/>
      <w:szCs w:val="24"/>
      <w:lang w:val="en-GB"/>
    </w:rPr>
  </w:style>
  <w:style w:type="character" w:customStyle="1" w:styleId="apple-converted-space">
    <w:name w:val="apple-converted-space"/>
    <w:rsid w:val="00CE0618"/>
  </w:style>
  <w:style w:type="character" w:styleId="Emphasis">
    <w:name w:val="Emphasis"/>
    <w:uiPriority w:val="20"/>
    <w:qFormat/>
    <w:rsid w:val="00CE0618"/>
    <w:rPr>
      <w:i/>
      <w:iCs/>
    </w:rPr>
  </w:style>
  <w:style w:type="paragraph" w:customStyle="1" w:styleId="Listlevel1">
    <w:name w:val="List level 1"/>
    <w:basedOn w:val="Normal"/>
    <w:link w:val="Listlevel1Char1"/>
    <w:rsid w:val="00CE0618"/>
    <w:pPr>
      <w:spacing w:before="40" w:after="20" w:line="240" w:lineRule="auto"/>
      <w:ind w:left="425" w:hanging="425"/>
    </w:pPr>
    <w:rPr>
      <w:rFonts w:ascii="Times New Roman" w:eastAsia="Times New Roman" w:hAnsi="Times New Roman"/>
      <w:sz w:val="24"/>
      <w:szCs w:val="20"/>
      <w:lang w:val="en-US"/>
    </w:rPr>
  </w:style>
  <w:style w:type="character" w:customStyle="1" w:styleId="Listlevel1Char1">
    <w:name w:val="List level 1 Char1"/>
    <w:link w:val="Listlevel1"/>
    <w:rsid w:val="00CE0618"/>
    <w:rPr>
      <w:rFonts w:ascii="Times New Roman" w:eastAsia="Times New Roman" w:hAnsi="Times New Roman" w:cs="Times New Roman"/>
      <w:sz w:val="24"/>
      <w:szCs w:val="20"/>
      <w:lang w:val="en-US"/>
    </w:rPr>
  </w:style>
  <w:style w:type="paragraph" w:customStyle="1" w:styleId="Listlevel2">
    <w:name w:val="List level 2"/>
    <w:basedOn w:val="Listlevel1"/>
    <w:rsid w:val="00CE0618"/>
    <w:pPr>
      <w:ind w:left="850"/>
    </w:pPr>
  </w:style>
  <w:style w:type="character" w:styleId="Strong">
    <w:name w:val="Strong"/>
    <w:uiPriority w:val="22"/>
    <w:qFormat/>
    <w:rsid w:val="00CE0618"/>
    <w:rPr>
      <w:b/>
      <w:bCs/>
    </w:rPr>
  </w:style>
  <w:style w:type="paragraph" w:styleId="Header">
    <w:name w:val="header"/>
    <w:basedOn w:val="Normal"/>
    <w:link w:val="HeaderChar"/>
    <w:uiPriority w:val="99"/>
    <w:rsid w:val="00CE0618"/>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CE0618"/>
    <w:rPr>
      <w:rFonts w:ascii="Times New Roman" w:eastAsia="Times New Roman" w:hAnsi="Times New Roman" w:cs="Times New Roman"/>
      <w:sz w:val="20"/>
      <w:szCs w:val="20"/>
      <w:lang w:val="en-GB"/>
    </w:rPr>
  </w:style>
  <w:style w:type="paragraph" w:styleId="Footer">
    <w:name w:val="footer"/>
    <w:basedOn w:val="Normal"/>
    <w:link w:val="FooterChar"/>
    <w:rsid w:val="00CE0618"/>
    <w:pPr>
      <w:tabs>
        <w:tab w:val="center" w:pos="4513"/>
        <w:tab w:val="right" w:pos="9026"/>
      </w:tabs>
      <w:spacing w:after="0" w:line="240" w:lineRule="auto"/>
    </w:pPr>
    <w:rPr>
      <w:rFonts w:ascii="Times New Roman" w:eastAsia="Times New Roman" w:hAnsi="Times New Roman"/>
      <w:sz w:val="20"/>
      <w:szCs w:val="20"/>
      <w:lang w:val="en-GB"/>
    </w:rPr>
  </w:style>
  <w:style w:type="character" w:customStyle="1" w:styleId="FooterChar">
    <w:name w:val="Footer Char"/>
    <w:basedOn w:val="DefaultParagraphFont"/>
    <w:link w:val="Footer"/>
    <w:rsid w:val="00CE0618"/>
    <w:rPr>
      <w:rFonts w:ascii="Times New Roman" w:eastAsia="Times New Roman" w:hAnsi="Times New Roman" w:cs="Times New Roman"/>
      <w:sz w:val="20"/>
      <w:szCs w:val="20"/>
      <w:lang w:val="en-GB"/>
    </w:rPr>
  </w:style>
  <w:style w:type="paragraph" w:styleId="BodyTextIndent">
    <w:name w:val="Body Text Indent"/>
    <w:basedOn w:val="Normal"/>
    <w:link w:val="BodyTextIndentChar"/>
    <w:rsid w:val="00CE0618"/>
    <w:pPr>
      <w:spacing w:after="120" w:line="240" w:lineRule="auto"/>
      <w:ind w:left="283"/>
    </w:pPr>
    <w:rPr>
      <w:rFonts w:ascii="Times New Roman" w:eastAsia="Times New Roman" w:hAnsi="Times New Roman"/>
      <w:sz w:val="24"/>
      <w:szCs w:val="24"/>
      <w:lang w:eastAsia="en-AU"/>
    </w:rPr>
  </w:style>
  <w:style w:type="character" w:customStyle="1" w:styleId="BodyTextIndentChar">
    <w:name w:val="Body Text Indent Char"/>
    <w:basedOn w:val="DefaultParagraphFont"/>
    <w:link w:val="BodyTextIndent"/>
    <w:rsid w:val="00CE0618"/>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co.ascopubs.org/content/33/16/1754.full" TargetMode="Externa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3311</Words>
  <Characters>18879</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Milton,Anne</dc:creator>
  <cp:lastModifiedBy>Chang, Rachael (FMC)</cp:lastModifiedBy>
  <cp:revision>2</cp:revision>
  <dcterms:created xsi:type="dcterms:W3CDTF">2016-06-27T02:57:00Z</dcterms:created>
  <dcterms:modified xsi:type="dcterms:W3CDTF">2016-06-27T02:57:00Z</dcterms:modified>
</cp:coreProperties>
</file>